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5BC3C5">
      <w:pPr>
        <w:spacing w:line="560" w:lineRule="exact"/>
        <w:rPr>
          <w:rFonts w:ascii="方正小标宋简体" w:eastAsia="方正小标宋简体"/>
        </w:rPr>
      </w:pPr>
      <w:bookmarkStart w:id="0" w:name="_GoBack"/>
      <w:bookmarkEnd w:id="0"/>
      <w:r>
        <w:rPr>
          <w:rFonts w:hint="eastAsia" w:ascii="方正仿宋简体" w:hAnsi="方正仿宋简体" w:eastAsia="方正仿宋简体" w:cs="方正仿宋简体"/>
          <w:sz w:val="32"/>
          <w:szCs w:val="32"/>
        </w:rPr>
        <w:t>附件</w:t>
      </w:r>
    </w:p>
    <w:p w14:paraId="25850D93">
      <w:pPr>
        <w:spacing w:line="660" w:lineRule="exact"/>
        <w:jc w:val="center"/>
        <w:rPr>
          <w:rFonts w:hint="eastAsia" w:ascii="方正小标宋简体" w:eastAsia="方正小标宋简体"/>
          <w:sz w:val="44"/>
          <w:szCs w:val="44"/>
          <w:lang w:eastAsia="zh-CN"/>
        </w:rPr>
      </w:pPr>
      <w:r>
        <w:rPr>
          <w:rFonts w:hint="eastAsia" w:ascii="方正小标宋简体" w:eastAsia="方正小标宋简体"/>
          <w:sz w:val="44"/>
          <w:szCs w:val="44"/>
        </w:rPr>
        <w:t>202</w:t>
      </w:r>
      <w:r>
        <w:rPr>
          <w:rFonts w:hint="eastAsia" w:ascii="方正小标宋简体" w:eastAsia="方正小标宋简体"/>
          <w:sz w:val="44"/>
          <w:szCs w:val="44"/>
          <w:lang w:val="en-US" w:eastAsia="zh-CN"/>
        </w:rPr>
        <w:t>6</w:t>
      </w:r>
      <w:r>
        <w:rPr>
          <w:rFonts w:hint="eastAsia" w:ascii="方正小标宋简体" w:eastAsia="方正小标宋简体"/>
          <w:sz w:val="44"/>
          <w:szCs w:val="44"/>
        </w:rPr>
        <w:t>年度广西高等教育本科教学改革工程项目</w:t>
      </w:r>
      <w:r>
        <w:rPr>
          <w:rFonts w:hint="eastAsia" w:ascii="方正小标宋简体" w:eastAsia="方正小标宋简体"/>
          <w:sz w:val="44"/>
          <w:szCs w:val="44"/>
          <w:lang w:val="en-US" w:eastAsia="zh-CN"/>
        </w:rPr>
        <w:t>评审结果</w:t>
      </w:r>
    </w:p>
    <w:p w14:paraId="61387372">
      <w:pPr>
        <w:pStyle w:val="2"/>
        <w:rPr>
          <w:rFonts w:hint="eastAsia"/>
        </w:rPr>
      </w:pPr>
    </w:p>
    <w:tbl>
      <w:tblPr>
        <w:tblStyle w:val="7"/>
        <w:tblW w:w="135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9"/>
        <w:gridCol w:w="6450"/>
        <w:gridCol w:w="1687"/>
        <w:gridCol w:w="2421"/>
        <w:gridCol w:w="2080"/>
      </w:tblGrid>
      <w:tr w14:paraId="1FBDA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blHeader/>
          <w:jc w:val="center"/>
        </w:trPr>
        <w:tc>
          <w:tcPr>
            <w:tcW w:w="959" w:type="dxa"/>
            <w:vAlign w:val="center"/>
          </w:tcPr>
          <w:p w14:paraId="5980536F">
            <w:pPr>
              <w:spacing w:line="360" w:lineRule="exact"/>
              <w:jc w:val="center"/>
              <w:rPr>
                <w:rFonts w:hint="eastAsia" w:ascii="方正仿宋简体" w:hAnsi="方正仿宋简体" w:eastAsia="方正仿宋简体" w:cs="方正仿宋简体"/>
                <w:b/>
                <w:sz w:val="32"/>
                <w:szCs w:val="32"/>
              </w:rPr>
            </w:pPr>
            <w:r>
              <w:rPr>
                <w:rFonts w:hint="eastAsia" w:ascii="方正仿宋简体" w:hAnsi="方正仿宋简体" w:eastAsia="方正仿宋简体" w:cs="方正仿宋简体"/>
                <w:b/>
                <w:sz w:val="32"/>
                <w:szCs w:val="32"/>
              </w:rPr>
              <w:t>序号</w:t>
            </w:r>
          </w:p>
        </w:tc>
        <w:tc>
          <w:tcPr>
            <w:tcW w:w="6450" w:type="dxa"/>
            <w:vAlign w:val="center"/>
          </w:tcPr>
          <w:p w14:paraId="0BE63FE4">
            <w:pPr>
              <w:spacing w:line="360" w:lineRule="exact"/>
              <w:jc w:val="center"/>
              <w:rPr>
                <w:rFonts w:hint="eastAsia" w:ascii="方正仿宋简体" w:hAnsi="方正仿宋简体" w:eastAsia="方正仿宋简体" w:cs="方正仿宋简体"/>
                <w:b/>
                <w:sz w:val="32"/>
                <w:szCs w:val="32"/>
              </w:rPr>
            </w:pPr>
            <w:r>
              <w:rPr>
                <w:rFonts w:hint="eastAsia" w:ascii="方正仿宋简体" w:hAnsi="方正仿宋简体" w:eastAsia="方正仿宋简体" w:cs="方正仿宋简体"/>
                <w:b/>
                <w:sz w:val="32"/>
                <w:szCs w:val="32"/>
              </w:rPr>
              <w:t>项目名称</w:t>
            </w:r>
          </w:p>
        </w:tc>
        <w:tc>
          <w:tcPr>
            <w:tcW w:w="1687" w:type="dxa"/>
            <w:vAlign w:val="center"/>
          </w:tcPr>
          <w:p w14:paraId="0439AF2A">
            <w:pPr>
              <w:spacing w:line="360" w:lineRule="exact"/>
              <w:jc w:val="center"/>
              <w:rPr>
                <w:rFonts w:hint="eastAsia" w:ascii="方正仿宋简体" w:hAnsi="方正仿宋简体" w:eastAsia="方正仿宋简体" w:cs="方正仿宋简体"/>
                <w:b/>
                <w:sz w:val="32"/>
                <w:szCs w:val="32"/>
              </w:rPr>
            </w:pPr>
            <w:r>
              <w:rPr>
                <w:rFonts w:hint="eastAsia" w:ascii="方正仿宋简体" w:hAnsi="方正仿宋简体" w:eastAsia="方正仿宋简体" w:cs="方正仿宋简体"/>
                <w:b/>
                <w:sz w:val="32"/>
                <w:szCs w:val="32"/>
              </w:rPr>
              <w:t>申请人</w:t>
            </w:r>
          </w:p>
        </w:tc>
        <w:tc>
          <w:tcPr>
            <w:tcW w:w="2421" w:type="dxa"/>
            <w:vAlign w:val="center"/>
          </w:tcPr>
          <w:p w14:paraId="1664CBF6">
            <w:pPr>
              <w:spacing w:line="360" w:lineRule="exact"/>
              <w:jc w:val="center"/>
              <w:rPr>
                <w:rFonts w:hint="eastAsia" w:ascii="方正仿宋简体" w:hAnsi="方正仿宋简体" w:eastAsia="方正仿宋简体" w:cs="方正仿宋简体"/>
                <w:b/>
                <w:sz w:val="32"/>
                <w:szCs w:val="32"/>
              </w:rPr>
            </w:pPr>
            <w:r>
              <w:rPr>
                <w:rFonts w:hint="eastAsia" w:ascii="方正仿宋简体" w:hAnsi="方正仿宋简体" w:eastAsia="方正仿宋简体" w:cs="方正仿宋简体"/>
                <w:b/>
                <w:sz w:val="32"/>
                <w:szCs w:val="32"/>
              </w:rPr>
              <w:t>申请单位</w:t>
            </w:r>
          </w:p>
        </w:tc>
        <w:tc>
          <w:tcPr>
            <w:tcW w:w="2080" w:type="dxa"/>
            <w:vAlign w:val="center"/>
          </w:tcPr>
          <w:p w14:paraId="5ABE0B71">
            <w:pPr>
              <w:spacing w:line="360" w:lineRule="exact"/>
              <w:jc w:val="center"/>
              <w:rPr>
                <w:rFonts w:hint="eastAsia" w:ascii="方正仿宋简体" w:hAnsi="方正仿宋简体" w:eastAsia="方正仿宋简体" w:cs="方正仿宋简体"/>
                <w:b/>
                <w:sz w:val="32"/>
                <w:szCs w:val="32"/>
              </w:rPr>
            </w:pPr>
            <w:r>
              <w:rPr>
                <w:rFonts w:hint="eastAsia" w:ascii="方正仿宋简体" w:hAnsi="方正仿宋简体" w:eastAsia="方正仿宋简体" w:cs="方正仿宋简体"/>
                <w:b/>
                <w:sz w:val="32"/>
                <w:szCs w:val="32"/>
              </w:rPr>
              <w:t>项目类型</w:t>
            </w:r>
          </w:p>
        </w:tc>
      </w:tr>
      <w:tr w14:paraId="403B8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7" w:hRule="atLeast"/>
          <w:jc w:val="center"/>
        </w:trPr>
        <w:tc>
          <w:tcPr>
            <w:tcW w:w="959" w:type="dxa"/>
            <w:vAlign w:val="center"/>
          </w:tcPr>
          <w:p w14:paraId="303BAE80">
            <w:pPr>
              <w:keepNext w:val="0"/>
              <w:keepLines w:val="0"/>
              <w:widowControl/>
              <w:suppressLineNumbers w:val="0"/>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1</w:t>
            </w:r>
          </w:p>
        </w:tc>
        <w:tc>
          <w:tcPr>
            <w:tcW w:w="6450" w:type="dxa"/>
            <w:shd w:val="clear" w:color="auto" w:fill="auto"/>
            <w:vAlign w:val="center"/>
          </w:tcPr>
          <w:p w14:paraId="120A259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“国际协同 三阶双导 跨域融合”环境设计专业育人模式创新与实践</w:t>
            </w:r>
          </w:p>
        </w:tc>
        <w:tc>
          <w:tcPr>
            <w:tcW w:w="1687" w:type="dxa"/>
            <w:shd w:val="clear" w:color="auto" w:fill="auto"/>
            <w:vAlign w:val="center"/>
          </w:tcPr>
          <w:p w14:paraId="169605A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张春东</w:t>
            </w:r>
          </w:p>
        </w:tc>
        <w:tc>
          <w:tcPr>
            <w:tcW w:w="2421" w:type="dxa"/>
            <w:shd w:val="clear" w:color="auto" w:fill="auto"/>
            <w:vAlign w:val="center"/>
          </w:tcPr>
          <w:p w14:paraId="375A5BE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建筑与环境艺术学院</w:t>
            </w:r>
          </w:p>
        </w:tc>
        <w:tc>
          <w:tcPr>
            <w:tcW w:w="2080" w:type="dxa"/>
            <w:vAlign w:val="center"/>
          </w:tcPr>
          <w:p w14:paraId="6272B98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重点项目</w:t>
            </w:r>
          </w:p>
        </w:tc>
      </w:tr>
      <w:tr w14:paraId="10167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7" w:hRule="atLeast"/>
          <w:jc w:val="center"/>
        </w:trPr>
        <w:tc>
          <w:tcPr>
            <w:tcW w:w="959" w:type="dxa"/>
            <w:vAlign w:val="center"/>
          </w:tcPr>
          <w:p w14:paraId="17655AC8">
            <w:pPr>
              <w:keepNext w:val="0"/>
              <w:keepLines w:val="0"/>
              <w:widowControl/>
              <w:suppressLineNumbers w:val="0"/>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2</w:t>
            </w:r>
          </w:p>
        </w:tc>
        <w:tc>
          <w:tcPr>
            <w:tcW w:w="6450" w:type="dxa"/>
            <w:shd w:val="clear" w:color="auto" w:fill="auto"/>
            <w:vAlign w:val="center"/>
          </w:tcPr>
          <w:p w14:paraId="49F2774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AI赋能高校书法课程教学设计与实践创新——以《书刻艺术》为例</w:t>
            </w:r>
          </w:p>
        </w:tc>
        <w:tc>
          <w:tcPr>
            <w:tcW w:w="1687" w:type="dxa"/>
            <w:shd w:val="clear" w:color="auto" w:fill="auto"/>
            <w:vAlign w:val="center"/>
          </w:tcPr>
          <w:p w14:paraId="76A920F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江威龙</w:t>
            </w:r>
          </w:p>
        </w:tc>
        <w:tc>
          <w:tcPr>
            <w:tcW w:w="2421" w:type="dxa"/>
            <w:shd w:val="clear" w:color="auto" w:fill="auto"/>
            <w:vAlign w:val="center"/>
          </w:tcPr>
          <w:p w14:paraId="23CEFCF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书法学院</w:t>
            </w:r>
          </w:p>
        </w:tc>
        <w:tc>
          <w:tcPr>
            <w:tcW w:w="2080" w:type="dxa"/>
            <w:vAlign w:val="center"/>
          </w:tcPr>
          <w:p w14:paraId="0515EAB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重点项目</w:t>
            </w:r>
          </w:p>
        </w:tc>
      </w:tr>
      <w:tr w14:paraId="13B59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7" w:hRule="atLeast"/>
          <w:jc w:val="center"/>
        </w:trPr>
        <w:tc>
          <w:tcPr>
            <w:tcW w:w="959" w:type="dxa"/>
            <w:vAlign w:val="center"/>
          </w:tcPr>
          <w:p w14:paraId="3E85FD00">
            <w:pPr>
              <w:keepNext w:val="0"/>
              <w:keepLines w:val="0"/>
              <w:widowControl/>
              <w:suppressLineNumbers w:val="0"/>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3</w:t>
            </w:r>
          </w:p>
        </w:tc>
        <w:tc>
          <w:tcPr>
            <w:tcW w:w="6450" w:type="dxa"/>
            <w:shd w:val="clear" w:color="auto" w:fill="auto"/>
            <w:vAlign w:val="center"/>
          </w:tcPr>
          <w:p w14:paraId="4469BF6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“跨域协同·数智驱动·产教共生”视觉传达设计专业实践教学体系改革与实践</w:t>
            </w:r>
          </w:p>
        </w:tc>
        <w:tc>
          <w:tcPr>
            <w:tcW w:w="1687" w:type="dxa"/>
            <w:shd w:val="clear" w:color="auto" w:fill="auto"/>
            <w:vAlign w:val="center"/>
          </w:tcPr>
          <w:p w14:paraId="70914B3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郑哲瀚</w:t>
            </w:r>
          </w:p>
        </w:tc>
        <w:tc>
          <w:tcPr>
            <w:tcW w:w="2421" w:type="dxa"/>
            <w:shd w:val="clear" w:color="auto" w:fill="auto"/>
            <w:vAlign w:val="center"/>
          </w:tcPr>
          <w:p w14:paraId="2EE93A5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设计艺术学院</w:t>
            </w:r>
          </w:p>
        </w:tc>
        <w:tc>
          <w:tcPr>
            <w:tcW w:w="2080" w:type="dxa"/>
            <w:vAlign w:val="center"/>
          </w:tcPr>
          <w:p w14:paraId="2691DCD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一般项目A类</w:t>
            </w:r>
          </w:p>
        </w:tc>
      </w:tr>
      <w:tr w14:paraId="5BC1F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7" w:hRule="atLeast"/>
          <w:jc w:val="center"/>
        </w:trPr>
        <w:tc>
          <w:tcPr>
            <w:tcW w:w="959" w:type="dxa"/>
            <w:vAlign w:val="center"/>
          </w:tcPr>
          <w:p w14:paraId="1BE5E01A">
            <w:pPr>
              <w:keepNext w:val="0"/>
              <w:keepLines w:val="0"/>
              <w:widowControl/>
              <w:suppressLineNumbers w:val="0"/>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4</w:t>
            </w:r>
          </w:p>
        </w:tc>
        <w:tc>
          <w:tcPr>
            <w:tcW w:w="6450" w:type="dxa"/>
            <w:shd w:val="clear" w:color="auto" w:fill="auto"/>
            <w:vAlign w:val="center"/>
          </w:tcPr>
          <w:p w14:paraId="629A3A0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人机协同背景下UI设计课程“一核双翼三闭环”教学模式改革与实践</w:t>
            </w:r>
          </w:p>
        </w:tc>
        <w:tc>
          <w:tcPr>
            <w:tcW w:w="1687" w:type="dxa"/>
            <w:shd w:val="clear" w:color="auto" w:fill="auto"/>
            <w:vAlign w:val="center"/>
          </w:tcPr>
          <w:p w14:paraId="05C5992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高一心</w:t>
            </w:r>
          </w:p>
        </w:tc>
        <w:tc>
          <w:tcPr>
            <w:tcW w:w="2421" w:type="dxa"/>
            <w:shd w:val="clear" w:color="auto" w:fill="auto"/>
            <w:vAlign w:val="center"/>
          </w:tcPr>
          <w:p w14:paraId="55F322A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设计艺术学院</w:t>
            </w:r>
          </w:p>
        </w:tc>
        <w:tc>
          <w:tcPr>
            <w:tcW w:w="2080" w:type="dxa"/>
            <w:vAlign w:val="center"/>
          </w:tcPr>
          <w:p w14:paraId="74B983C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一般项目A类</w:t>
            </w:r>
          </w:p>
        </w:tc>
      </w:tr>
      <w:tr w14:paraId="48081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7" w:hRule="atLeast"/>
          <w:jc w:val="center"/>
        </w:trPr>
        <w:tc>
          <w:tcPr>
            <w:tcW w:w="959" w:type="dxa"/>
            <w:vAlign w:val="center"/>
          </w:tcPr>
          <w:p w14:paraId="38549940">
            <w:pPr>
              <w:keepNext w:val="0"/>
              <w:keepLines w:val="0"/>
              <w:widowControl/>
              <w:suppressLineNumbers w:val="0"/>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5</w:t>
            </w:r>
          </w:p>
        </w:tc>
        <w:tc>
          <w:tcPr>
            <w:tcW w:w="6450" w:type="dxa"/>
            <w:shd w:val="clear" w:color="auto" w:fill="auto"/>
            <w:vAlign w:val="center"/>
          </w:tcPr>
          <w:p w14:paraId="2DE5544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服务“一区两地一园一通道”战略的品牌设计课“数智驱动”教学改革与实践</w:t>
            </w:r>
          </w:p>
        </w:tc>
        <w:tc>
          <w:tcPr>
            <w:tcW w:w="1687" w:type="dxa"/>
            <w:shd w:val="clear" w:color="auto" w:fill="auto"/>
            <w:vAlign w:val="center"/>
          </w:tcPr>
          <w:p w14:paraId="02BE3BB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岳沛龙</w:t>
            </w:r>
          </w:p>
        </w:tc>
        <w:tc>
          <w:tcPr>
            <w:tcW w:w="2421" w:type="dxa"/>
            <w:shd w:val="clear" w:color="auto" w:fill="auto"/>
            <w:vAlign w:val="center"/>
          </w:tcPr>
          <w:p w14:paraId="1B95170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设计艺术学院</w:t>
            </w:r>
          </w:p>
        </w:tc>
        <w:tc>
          <w:tcPr>
            <w:tcW w:w="2080" w:type="dxa"/>
            <w:vAlign w:val="center"/>
          </w:tcPr>
          <w:p w14:paraId="1ADDC27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一般项目A类</w:t>
            </w:r>
          </w:p>
        </w:tc>
      </w:tr>
      <w:tr w14:paraId="561BE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7" w:hRule="atLeast"/>
          <w:jc w:val="center"/>
        </w:trPr>
        <w:tc>
          <w:tcPr>
            <w:tcW w:w="959" w:type="dxa"/>
            <w:vAlign w:val="center"/>
          </w:tcPr>
          <w:p w14:paraId="46D85703">
            <w:pPr>
              <w:keepNext w:val="0"/>
              <w:keepLines w:val="0"/>
              <w:widowControl/>
              <w:suppressLineNumbers w:val="0"/>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6</w:t>
            </w:r>
          </w:p>
        </w:tc>
        <w:tc>
          <w:tcPr>
            <w:tcW w:w="6450" w:type="dxa"/>
            <w:shd w:val="clear" w:color="auto" w:fill="auto"/>
            <w:vAlign w:val="center"/>
          </w:tcPr>
          <w:p w14:paraId="33486A5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AI赋能·产业导向：新媒体动画方向CTAEM-T型人才培养路径创新实践</w:t>
            </w:r>
          </w:p>
        </w:tc>
        <w:tc>
          <w:tcPr>
            <w:tcW w:w="1687" w:type="dxa"/>
            <w:shd w:val="clear" w:color="auto" w:fill="auto"/>
            <w:vAlign w:val="center"/>
          </w:tcPr>
          <w:p w14:paraId="60F72C6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庄凯丽</w:t>
            </w:r>
          </w:p>
        </w:tc>
        <w:tc>
          <w:tcPr>
            <w:tcW w:w="2421" w:type="dxa"/>
            <w:shd w:val="clear" w:color="auto" w:fill="auto"/>
            <w:vAlign w:val="center"/>
          </w:tcPr>
          <w:p w14:paraId="3D94837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影视动画学院</w:t>
            </w:r>
          </w:p>
        </w:tc>
        <w:tc>
          <w:tcPr>
            <w:tcW w:w="2080" w:type="dxa"/>
            <w:vAlign w:val="center"/>
          </w:tcPr>
          <w:p w14:paraId="10A3819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一般项目A类</w:t>
            </w:r>
          </w:p>
        </w:tc>
      </w:tr>
      <w:tr w14:paraId="41AA8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7" w:hRule="atLeast"/>
          <w:jc w:val="center"/>
        </w:trPr>
        <w:tc>
          <w:tcPr>
            <w:tcW w:w="959" w:type="dxa"/>
            <w:vAlign w:val="center"/>
          </w:tcPr>
          <w:p w14:paraId="21A4542B">
            <w:pPr>
              <w:keepNext w:val="0"/>
              <w:keepLines w:val="0"/>
              <w:widowControl/>
              <w:suppressLineNumbers w:val="0"/>
              <w:jc w:val="center"/>
              <w:textAlignment w:val="center"/>
              <w:rPr>
                <w:rFonts w:hint="default"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7</w:t>
            </w:r>
          </w:p>
        </w:tc>
        <w:tc>
          <w:tcPr>
            <w:tcW w:w="6450" w:type="dxa"/>
            <w:shd w:val="clear" w:color="auto" w:fill="auto"/>
            <w:vAlign w:val="center"/>
          </w:tcPr>
          <w:p w14:paraId="33DC496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AI赋能下绘画专业数字绘画课程群“三融三阶四环双评”教学体系改革研究</w:t>
            </w:r>
          </w:p>
        </w:tc>
        <w:tc>
          <w:tcPr>
            <w:tcW w:w="1687" w:type="dxa"/>
            <w:shd w:val="clear" w:color="auto" w:fill="auto"/>
            <w:vAlign w:val="center"/>
          </w:tcPr>
          <w:p w14:paraId="528667F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韩玮</w:t>
            </w:r>
          </w:p>
        </w:tc>
        <w:tc>
          <w:tcPr>
            <w:tcW w:w="2421" w:type="dxa"/>
            <w:shd w:val="clear" w:color="auto" w:fill="auto"/>
            <w:vAlign w:val="center"/>
          </w:tcPr>
          <w:p w14:paraId="23275AB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美术学院</w:t>
            </w:r>
          </w:p>
        </w:tc>
        <w:tc>
          <w:tcPr>
            <w:tcW w:w="2080" w:type="dxa"/>
            <w:shd w:val="clear" w:color="auto" w:fill="auto"/>
            <w:vAlign w:val="center"/>
          </w:tcPr>
          <w:p w14:paraId="7EE5085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一般项目A类</w:t>
            </w:r>
          </w:p>
        </w:tc>
      </w:tr>
      <w:tr w14:paraId="6F883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7" w:hRule="atLeast"/>
          <w:jc w:val="center"/>
        </w:trPr>
        <w:tc>
          <w:tcPr>
            <w:tcW w:w="959" w:type="dxa"/>
            <w:vAlign w:val="center"/>
          </w:tcPr>
          <w:p w14:paraId="3362A6D0">
            <w:pPr>
              <w:keepNext w:val="0"/>
              <w:keepLines w:val="0"/>
              <w:widowControl/>
              <w:suppressLineNumbers w:val="0"/>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8</w:t>
            </w:r>
          </w:p>
        </w:tc>
        <w:tc>
          <w:tcPr>
            <w:tcW w:w="6450" w:type="dxa"/>
            <w:shd w:val="clear" w:color="auto" w:fill="auto"/>
            <w:vAlign w:val="center"/>
          </w:tcPr>
          <w:p w14:paraId="1215815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“AI+广西民族服饰文化”双轮驱动下的设计创新课程开发与实践研究</w:t>
            </w:r>
          </w:p>
        </w:tc>
        <w:tc>
          <w:tcPr>
            <w:tcW w:w="1687" w:type="dxa"/>
            <w:shd w:val="clear" w:color="auto" w:fill="auto"/>
            <w:vAlign w:val="center"/>
          </w:tcPr>
          <w:p w14:paraId="6E9F1D6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游兴兰</w:t>
            </w:r>
          </w:p>
        </w:tc>
        <w:tc>
          <w:tcPr>
            <w:tcW w:w="2421" w:type="dxa"/>
            <w:shd w:val="clear" w:color="auto" w:fill="auto"/>
            <w:vAlign w:val="center"/>
          </w:tcPr>
          <w:p w14:paraId="6AEC38A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服装学院</w:t>
            </w:r>
          </w:p>
        </w:tc>
        <w:tc>
          <w:tcPr>
            <w:tcW w:w="2080" w:type="dxa"/>
            <w:shd w:val="clear" w:color="auto" w:fill="auto"/>
            <w:vAlign w:val="center"/>
          </w:tcPr>
          <w:p w14:paraId="358046F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一般项目A类</w:t>
            </w:r>
          </w:p>
        </w:tc>
      </w:tr>
      <w:tr w14:paraId="359FB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7" w:hRule="atLeast"/>
          <w:jc w:val="center"/>
        </w:trPr>
        <w:tc>
          <w:tcPr>
            <w:tcW w:w="959" w:type="dxa"/>
            <w:vAlign w:val="center"/>
          </w:tcPr>
          <w:p w14:paraId="2C8D1FD4">
            <w:pPr>
              <w:keepNext w:val="0"/>
              <w:keepLines w:val="0"/>
              <w:widowControl/>
              <w:suppressLineNumbers w:val="0"/>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9</w:t>
            </w:r>
          </w:p>
        </w:tc>
        <w:tc>
          <w:tcPr>
            <w:tcW w:w="6450" w:type="dxa"/>
            <w:shd w:val="clear" w:color="auto" w:fill="auto"/>
            <w:vAlign w:val="center"/>
          </w:tcPr>
          <w:p w14:paraId="6B8E055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数智化视域下传统造型语汇的构成教学转化实践--以疍家、铜鼓为例</w:t>
            </w:r>
          </w:p>
        </w:tc>
        <w:tc>
          <w:tcPr>
            <w:tcW w:w="1687" w:type="dxa"/>
            <w:shd w:val="clear" w:color="auto" w:fill="auto"/>
            <w:vAlign w:val="center"/>
          </w:tcPr>
          <w:p w14:paraId="529028D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虞蕾蕾</w:t>
            </w:r>
          </w:p>
        </w:tc>
        <w:tc>
          <w:tcPr>
            <w:tcW w:w="2421" w:type="dxa"/>
            <w:shd w:val="clear" w:color="auto" w:fill="auto"/>
            <w:vAlign w:val="center"/>
          </w:tcPr>
          <w:p w14:paraId="3C879AC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服装学院</w:t>
            </w:r>
          </w:p>
        </w:tc>
        <w:tc>
          <w:tcPr>
            <w:tcW w:w="2080" w:type="dxa"/>
            <w:shd w:val="clear" w:color="auto" w:fill="auto"/>
            <w:vAlign w:val="center"/>
          </w:tcPr>
          <w:p w14:paraId="60BA678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一般项目A类</w:t>
            </w:r>
          </w:p>
        </w:tc>
      </w:tr>
      <w:tr w14:paraId="61D00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7" w:hRule="atLeast"/>
          <w:jc w:val="center"/>
        </w:trPr>
        <w:tc>
          <w:tcPr>
            <w:tcW w:w="959" w:type="dxa"/>
            <w:shd w:val="clear" w:color="auto" w:fill="auto"/>
            <w:vAlign w:val="center"/>
          </w:tcPr>
          <w:p w14:paraId="502B211F">
            <w:pPr>
              <w:keepNext w:val="0"/>
              <w:keepLines w:val="0"/>
              <w:widowControl/>
              <w:suppressLineNumbers w:val="0"/>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10</w:t>
            </w:r>
          </w:p>
        </w:tc>
        <w:tc>
          <w:tcPr>
            <w:tcW w:w="6450" w:type="dxa"/>
            <w:shd w:val="clear" w:color="auto" w:fill="auto"/>
            <w:vAlign w:val="center"/>
          </w:tcPr>
          <w:p w14:paraId="59ADE2F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三元协同，五阶递进：数智赋能艺术类专业人工智能通识课程教学创新与实践</w:t>
            </w:r>
          </w:p>
        </w:tc>
        <w:tc>
          <w:tcPr>
            <w:tcW w:w="1687" w:type="dxa"/>
            <w:shd w:val="clear" w:color="auto" w:fill="auto"/>
            <w:vAlign w:val="center"/>
          </w:tcPr>
          <w:p w14:paraId="5611B49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周绪文</w:t>
            </w:r>
          </w:p>
        </w:tc>
        <w:tc>
          <w:tcPr>
            <w:tcW w:w="2421" w:type="dxa"/>
            <w:shd w:val="clear" w:color="auto" w:fill="auto"/>
            <w:vAlign w:val="center"/>
          </w:tcPr>
          <w:p w14:paraId="7DC550E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通识教育学院</w:t>
            </w:r>
          </w:p>
          <w:p w14:paraId="52AC321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（体育部）</w:t>
            </w:r>
          </w:p>
        </w:tc>
        <w:tc>
          <w:tcPr>
            <w:tcW w:w="2080" w:type="dxa"/>
            <w:shd w:val="clear" w:color="auto" w:fill="auto"/>
            <w:vAlign w:val="center"/>
          </w:tcPr>
          <w:p w14:paraId="451201B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一般项目A类</w:t>
            </w:r>
          </w:p>
        </w:tc>
      </w:tr>
      <w:tr w14:paraId="14057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7" w:hRule="atLeast"/>
          <w:jc w:val="center"/>
        </w:trPr>
        <w:tc>
          <w:tcPr>
            <w:tcW w:w="959" w:type="dxa"/>
            <w:shd w:val="clear" w:color="auto" w:fill="auto"/>
            <w:vAlign w:val="center"/>
          </w:tcPr>
          <w:p w14:paraId="0F5A1A24">
            <w:pPr>
              <w:keepNext w:val="0"/>
              <w:keepLines w:val="0"/>
              <w:widowControl/>
              <w:suppressLineNumbers w:val="0"/>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11</w:t>
            </w:r>
          </w:p>
        </w:tc>
        <w:tc>
          <w:tcPr>
            <w:tcW w:w="6450" w:type="dxa"/>
            <w:shd w:val="clear" w:color="auto" w:fill="auto"/>
            <w:vAlign w:val="center"/>
          </w:tcPr>
          <w:p w14:paraId="5EA1279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四智驱动、三链融合、五环联动：AI赋能艺术院校实践教学全过程数智化改革与实践</w:t>
            </w:r>
          </w:p>
        </w:tc>
        <w:tc>
          <w:tcPr>
            <w:tcW w:w="1687" w:type="dxa"/>
            <w:shd w:val="clear" w:color="auto" w:fill="auto"/>
            <w:vAlign w:val="center"/>
          </w:tcPr>
          <w:p w14:paraId="61659B6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曾之光</w:t>
            </w:r>
          </w:p>
        </w:tc>
        <w:tc>
          <w:tcPr>
            <w:tcW w:w="2421" w:type="dxa"/>
            <w:shd w:val="clear" w:color="auto" w:fill="auto"/>
            <w:vAlign w:val="center"/>
          </w:tcPr>
          <w:p w14:paraId="2C3D4D8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教务处</w:t>
            </w:r>
          </w:p>
        </w:tc>
        <w:tc>
          <w:tcPr>
            <w:tcW w:w="2080" w:type="dxa"/>
            <w:shd w:val="clear" w:color="auto" w:fill="auto"/>
            <w:vAlign w:val="center"/>
          </w:tcPr>
          <w:p w14:paraId="430252A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一般项目A类</w:t>
            </w:r>
          </w:p>
        </w:tc>
      </w:tr>
      <w:tr w14:paraId="5320F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7" w:hRule="atLeast"/>
          <w:jc w:val="center"/>
        </w:trPr>
        <w:tc>
          <w:tcPr>
            <w:tcW w:w="959" w:type="dxa"/>
            <w:shd w:val="clear" w:color="auto" w:fill="auto"/>
            <w:vAlign w:val="center"/>
          </w:tcPr>
          <w:p w14:paraId="5BB3DACD">
            <w:pPr>
              <w:keepNext w:val="0"/>
              <w:keepLines w:val="0"/>
              <w:widowControl/>
              <w:suppressLineNumbers w:val="0"/>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12</w:t>
            </w:r>
          </w:p>
        </w:tc>
        <w:tc>
          <w:tcPr>
            <w:tcW w:w="6450" w:type="dxa"/>
            <w:shd w:val="clear" w:color="auto" w:fill="auto"/>
            <w:vAlign w:val="center"/>
          </w:tcPr>
          <w:p w14:paraId="23792CE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双擎四融引领：广西壮乡文化IP数字化创作驱动动画教师数字能力提升实践</w:t>
            </w:r>
          </w:p>
        </w:tc>
        <w:tc>
          <w:tcPr>
            <w:tcW w:w="1687" w:type="dxa"/>
            <w:shd w:val="clear" w:color="auto" w:fill="auto"/>
            <w:vAlign w:val="center"/>
          </w:tcPr>
          <w:p w14:paraId="465FA4A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王宁宁</w:t>
            </w:r>
          </w:p>
        </w:tc>
        <w:tc>
          <w:tcPr>
            <w:tcW w:w="2421" w:type="dxa"/>
            <w:shd w:val="clear" w:color="auto" w:fill="auto"/>
            <w:vAlign w:val="center"/>
          </w:tcPr>
          <w:p w14:paraId="7361D28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北京实践基地</w:t>
            </w:r>
          </w:p>
        </w:tc>
        <w:tc>
          <w:tcPr>
            <w:tcW w:w="2080" w:type="dxa"/>
            <w:vAlign w:val="center"/>
          </w:tcPr>
          <w:p w14:paraId="6AB8327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一般项目B类</w:t>
            </w:r>
          </w:p>
        </w:tc>
      </w:tr>
      <w:tr w14:paraId="5E17F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7" w:hRule="atLeast"/>
          <w:jc w:val="center"/>
        </w:trPr>
        <w:tc>
          <w:tcPr>
            <w:tcW w:w="959" w:type="dxa"/>
            <w:shd w:val="clear" w:color="auto" w:fill="auto"/>
            <w:vAlign w:val="center"/>
          </w:tcPr>
          <w:p w14:paraId="4F2ED4BD">
            <w:pPr>
              <w:keepNext w:val="0"/>
              <w:keepLines w:val="0"/>
              <w:widowControl/>
              <w:suppressLineNumbers w:val="0"/>
              <w:jc w:val="center"/>
              <w:textAlignment w:val="center"/>
              <w:rPr>
                <w:rFonts w:hint="default"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13</w:t>
            </w:r>
          </w:p>
        </w:tc>
        <w:tc>
          <w:tcPr>
            <w:tcW w:w="6450" w:type="dxa"/>
            <w:shd w:val="clear" w:color="auto" w:fill="auto"/>
            <w:vAlign w:val="center"/>
          </w:tcPr>
          <w:p w14:paraId="1836E6A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“三阶递进·多维协同”：AI背景下《IP形象设计》课程教学改革与实践</w:t>
            </w:r>
          </w:p>
        </w:tc>
        <w:tc>
          <w:tcPr>
            <w:tcW w:w="1687" w:type="dxa"/>
            <w:shd w:val="clear" w:color="auto" w:fill="auto"/>
            <w:vAlign w:val="center"/>
          </w:tcPr>
          <w:p w14:paraId="4C0B873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李晓蕊</w:t>
            </w:r>
          </w:p>
        </w:tc>
        <w:tc>
          <w:tcPr>
            <w:tcW w:w="2421" w:type="dxa"/>
            <w:shd w:val="clear" w:color="auto" w:fill="auto"/>
            <w:vAlign w:val="center"/>
          </w:tcPr>
          <w:p w14:paraId="735C4A6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设计艺术学院</w:t>
            </w:r>
          </w:p>
        </w:tc>
        <w:tc>
          <w:tcPr>
            <w:tcW w:w="2080" w:type="dxa"/>
            <w:shd w:val="clear" w:color="auto" w:fill="auto"/>
            <w:vAlign w:val="center"/>
          </w:tcPr>
          <w:p w14:paraId="252DA84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一般项目B类</w:t>
            </w:r>
          </w:p>
        </w:tc>
      </w:tr>
      <w:tr w14:paraId="07F0F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7" w:hRule="atLeast"/>
          <w:jc w:val="center"/>
        </w:trPr>
        <w:tc>
          <w:tcPr>
            <w:tcW w:w="959" w:type="dxa"/>
            <w:shd w:val="clear" w:color="auto" w:fill="auto"/>
            <w:vAlign w:val="center"/>
          </w:tcPr>
          <w:p w14:paraId="1D170136">
            <w:pPr>
              <w:keepNext w:val="0"/>
              <w:keepLines w:val="0"/>
              <w:widowControl/>
              <w:suppressLineNumbers w:val="0"/>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14</w:t>
            </w:r>
          </w:p>
        </w:tc>
        <w:tc>
          <w:tcPr>
            <w:tcW w:w="6450" w:type="dxa"/>
            <w:shd w:val="clear" w:color="auto" w:fill="auto"/>
            <w:vAlign w:val="center"/>
          </w:tcPr>
          <w:p w14:paraId="7D8D7F4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在地化实践与跨学科培育：数智时代下《乡村规划设计》课程教学改革实践</w:t>
            </w:r>
          </w:p>
        </w:tc>
        <w:tc>
          <w:tcPr>
            <w:tcW w:w="1687" w:type="dxa"/>
            <w:shd w:val="clear" w:color="auto" w:fill="auto"/>
            <w:vAlign w:val="center"/>
          </w:tcPr>
          <w:p w14:paraId="0AE8C57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李雪芳</w:t>
            </w:r>
          </w:p>
        </w:tc>
        <w:tc>
          <w:tcPr>
            <w:tcW w:w="2421" w:type="dxa"/>
            <w:shd w:val="clear" w:color="auto" w:fill="auto"/>
            <w:vAlign w:val="center"/>
          </w:tcPr>
          <w:p w14:paraId="7ECE30E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建筑与环境艺术学院</w:t>
            </w:r>
          </w:p>
        </w:tc>
        <w:tc>
          <w:tcPr>
            <w:tcW w:w="2080" w:type="dxa"/>
            <w:vAlign w:val="center"/>
          </w:tcPr>
          <w:p w14:paraId="16EFC1E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一般项目B类</w:t>
            </w:r>
          </w:p>
        </w:tc>
      </w:tr>
      <w:tr w14:paraId="58714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7" w:hRule="atLeast"/>
          <w:jc w:val="center"/>
        </w:trPr>
        <w:tc>
          <w:tcPr>
            <w:tcW w:w="959" w:type="dxa"/>
            <w:shd w:val="clear" w:color="auto" w:fill="auto"/>
            <w:vAlign w:val="center"/>
          </w:tcPr>
          <w:p w14:paraId="09C3EA55">
            <w:pPr>
              <w:keepNext w:val="0"/>
              <w:keepLines w:val="0"/>
              <w:widowControl/>
              <w:suppressLineNumbers w:val="0"/>
              <w:jc w:val="center"/>
              <w:textAlignment w:val="center"/>
              <w:rPr>
                <w:rFonts w:hint="default"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15</w:t>
            </w:r>
          </w:p>
        </w:tc>
        <w:tc>
          <w:tcPr>
            <w:tcW w:w="6450" w:type="dxa"/>
            <w:shd w:val="clear" w:color="auto" w:fill="auto"/>
            <w:vAlign w:val="center"/>
          </w:tcPr>
          <w:p w14:paraId="00E053F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产业牵引、图谱导航：动画专业“3353”数智化人才培养模式创新与实践</w:t>
            </w:r>
          </w:p>
        </w:tc>
        <w:tc>
          <w:tcPr>
            <w:tcW w:w="1687" w:type="dxa"/>
            <w:shd w:val="clear" w:color="auto" w:fill="auto"/>
            <w:vAlign w:val="center"/>
          </w:tcPr>
          <w:p w14:paraId="2FA43F4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邱红叶</w:t>
            </w:r>
          </w:p>
        </w:tc>
        <w:tc>
          <w:tcPr>
            <w:tcW w:w="2421" w:type="dxa"/>
            <w:shd w:val="clear" w:color="auto" w:fill="auto"/>
            <w:vAlign w:val="center"/>
          </w:tcPr>
          <w:p w14:paraId="5631B7F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影视动画学院</w:t>
            </w:r>
          </w:p>
        </w:tc>
        <w:tc>
          <w:tcPr>
            <w:tcW w:w="2080" w:type="dxa"/>
            <w:shd w:val="clear" w:color="auto" w:fill="auto"/>
            <w:vAlign w:val="center"/>
          </w:tcPr>
          <w:p w14:paraId="24859A8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一般项目B类</w:t>
            </w:r>
          </w:p>
        </w:tc>
      </w:tr>
      <w:tr w14:paraId="767E8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7" w:hRule="atLeast"/>
          <w:jc w:val="center"/>
        </w:trPr>
        <w:tc>
          <w:tcPr>
            <w:tcW w:w="959" w:type="dxa"/>
            <w:shd w:val="clear" w:color="auto" w:fill="auto"/>
            <w:vAlign w:val="center"/>
          </w:tcPr>
          <w:p w14:paraId="5A6BBCCB">
            <w:pPr>
              <w:keepNext w:val="0"/>
              <w:keepLines w:val="0"/>
              <w:widowControl/>
              <w:suppressLineNumbers w:val="0"/>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16</w:t>
            </w:r>
          </w:p>
        </w:tc>
        <w:tc>
          <w:tcPr>
            <w:tcW w:w="6450" w:type="dxa"/>
            <w:shd w:val="clear" w:color="auto" w:fill="auto"/>
            <w:vAlign w:val="center"/>
          </w:tcPr>
          <w:p w14:paraId="3F5FDDC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成果导向-展赛引领：动画专业“五位一体”质量保障机制与多元评价体系创新与实践</w:t>
            </w:r>
          </w:p>
        </w:tc>
        <w:tc>
          <w:tcPr>
            <w:tcW w:w="1687" w:type="dxa"/>
            <w:shd w:val="clear" w:color="auto" w:fill="auto"/>
            <w:vAlign w:val="center"/>
          </w:tcPr>
          <w:p w14:paraId="27CEE65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刘海涛</w:t>
            </w:r>
          </w:p>
        </w:tc>
        <w:tc>
          <w:tcPr>
            <w:tcW w:w="2421" w:type="dxa"/>
            <w:shd w:val="clear" w:color="auto" w:fill="auto"/>
            <w:vAlign w:val="center"/>
          </w:tcPr>
          <w:p w14:paraId="2D91CC7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影视动画学院</w:t>
            </w:r>
          </w:p>
        </w:tc>
        <w:tc>
          <w:tcPr>
            <w:tcW w:w="2080" w:type="dxa"/>
            <w:shd w:val="clear" w:color="auto" w:fill="auto"/>
            <w:vAlign w:val="center"/>
          </w:tcPr>
          <w:p w14:paraId="24024E6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一般项目B类</w:t>
            </w:r>
          </w:p>
        </w:tc>
      </w:tr>
      <w:tr w14:paraId="377AF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7" w:hRule="atLeast"/>
          <w:jc w:val="center"/>
        </w:trPr>
        <w:tc>
          <w:tcPr>
            <w:tcW w:w="959" w:type="dxa"/>
            <w:shd w:val="clear" w:color="auto" w:fill="auto"/>
            <w:vAlign w:val="center"/>
          </w:tcPr>
          <w:p w14:paraId="38658D38">
            <w:pPr>
              <w:keepNext w:val="0"/>
              <w:keepLines w:val="0"/>
              <w:widowControl/>
              <w:suppressLineNumbers w:val="0"/>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17</w:t>
            </w:r>
          </w:p>
        </w:tc>
        <w:tc>
          <w:tcPr>
            <w:tcW w:w="6450" w:type="dxa"/>
            <w:shd w:val="clear" w:color="auto" w:fill="auto"/>
            <w:vAlign w:val="center"/>
          </w:tcPr>
          <w:p w14:paraId="026D09E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岗课赛证融合下海洋文化赋能《虚拟与现实技术》课程教学内容动态迭代机制研究</w:t>
            </w:r>
          </w:p>
        </w:tc>
        <w:tc>
          <w:tcPr>
            <w:tcW w:w="1687" w:type="dxa"/>
            <w:shd w:val="clear" w:color="auto" w:fill="auto"/>
            <w:vAlign w:val="center"/>
          </w:tcPr>
          <w:p w14:paraId="7AC2B34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黄圣迪</w:t>
            </w:r>
          </w:p>
        </w:tc>
        <w:tc>
          <w:tcPr>
            <w:tcW w:w="2421" w:type="dxa"/>
            <w:shd w:val="clear" w:color="auto" w:fill="auto"/>
            <w:vAlign w:val="center"/>
          </w:tcPr>
          <w:p w14:paraId="03012CD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传媒艺术学院</w:t>
            </w:r>
          </w:p>
        </w:tc>
        <w:tc>
          <w:tcPr>
            <w:tcW w:w="2080" w:type="dxa"/>
            <w:shd w:val="clear" w:color="auto" w:fill="auto"/>
            <w:vAlign w:val="center"/>
          </w:tcPr>
          <w:p w14:paraId="24710B9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一般项目B类</w:t>
            </w:r>
          </w:p>
        </w:tc>
      </w:tr>
      <w:tr w14:paraId="725D1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7" w:hRule="atLeast"/>
          <w:jc w:val="center"/>
        </w:trPr>
        <w:tc>
          <w:tcPr>
            <w:tcW w:w="959" w:type="dxa"/>
            <w:shd w:val="clear" w:color="auto" w:fill="auto"/>
            <w:vAlign w:val="center"/>
          </w:tcPr>
          <w:p w14:paraId="3AFCC56E">
            <w:pPr>
              <w:keepNext w:val="0"/>
              <w:keepLines w:val="0"/>
              <w:widowControl/>
              <w:suppressLineNumbers w:val="0"/>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18</w:t>
            </w:r>
          </w:p>
        </w:tc>
        <w:tc>
          <w:tcPr>
            <w:tcW w:w="6450" w:type="dxa"/>
            <w:shd w:val="clear" w:color="auto" w:fill="auto"/>
            <w:vAlign w:val="center"/>
          </w:tcPr>
          <w:p w14:paraId="165EBB5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人工智能赋能中国古代文学课程思政评价体系教学评协同三维构建与优化</w:t>
            </w:r>
          </w:p>
        </w:tc>
        <w:tc>
          <w:tcPr>
            <w:tcW w:w="1687" w:type="dxa"/>
            <w:shd w:val="clear" w:color="auto" w:fill="auto"/>
            <w:vAlign w:val="center"/>
          </w:tcPr>
          <w:p w14:paraId="263C394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姜玮</w:t>
            </w:r>
          </w:p>
        </w:tc>
        <w:tc>
          <w:tcPr>
            <w:tcW w:w="2421" w:type="dxa"/>
            <w:shd w:val="clear" w:color="auto" w:fill="auto"/>
            <w:vAlign w:val="center"/>
          </w:tcPr>
          <w:p w14:paraId="7E19624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文学院</w:t>
            </w:r>
          </w:p>
        </w:tc>
        <w:tc>
          <w:tcPr>
            <w:tcW w:w="2080" w:type="dxa"/>
            <w:shd w:val="clear" w:color="auto" w:fill="auto"/>
            <w:vAlign w:val="center"/>
          </w:tcPr>
          <w:p w14:paraId="4F7AFE8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一般项目B类</w:t>
            </w:r>
          </w:p>
        </w:tc>
      </w:tr>
      <w:tr w14:paraId="051EF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7" w:hRule="atLeast"/>
          <w:jc w:val="center"/>
        </w:trPr>
        <w:tc>
          <w:tcPr>
            <w:tcW w:w="959" w:type="dxa"/>
            <w:shd w:val="clear" w:color="auto" w:fill="auto"/>
            <w:vAlign w:val="center"/>
          </w:tcPr>
          <w:p w14:paraId="11713F43">
            <w:pPr>
              <w:keepNext w:val="0"/>
              <w:keepLines w:val="0"/>
              <w:widowControl/>
              <w:suppressLineNumbers w:val="0"/>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19</w:t>
            </w:r>
          </w:p>
        </w:tc>
        <w:tc>
          <w:tcPr>
            <w:tcW w:w="6450" w:type="dxa"/>
            <w:shd w:val="clear" w:color="auto" w:fill="auto"/>
            <w:vAlign w:val="center"/>
          </w:tcPr>
          <w:p w14:paraId="33C012A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“创演驱动，作品育人”民办院校舞蹈专业“教学创演”一体化改革与实践</w:t>
            </w:r>
          </w:p>
        </w:tc>
        <w:tc>
          <w:tcPr>
            <w:tcW w:w="1687" w:type="dxa"/>
            <w:shd w:val="clear" w:color="auto" w:fill="auto"/>
            <w:vAlign w:val="center"/>
          </w:tcPr>
          <w:p w14:paraId="2DC5F32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苏泽浩</w:t>
            </w:r>
          </w:p>
        </w:tc>
        <w:tc>
          <w:tcPr>
            <w:tcW w:w="2421" w:type="dxa"/>
            <w:shd w:val="clear" w:color="auto" w:fill="auto"/>
            <w:vAlign w:val="center"/>
          </w:tcPr>
          <w:p w14:paraId="03045D6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舞蹈学院</w:t>
            </w:r>
          </w:p>
        </w:tc>
        <w:tc>
          <w:tcPr>
            <w:tcW w:w="2080" w:type="dxa"/>
            <w:vAlign w:val="center"/>
          </w:tcPr>
          <w:p w14:paraId="172351E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一般项目B类</w:t>
            </w:r>
          </w:p>
        </w:tc>
      </w:tr>
      <w:tr w14:paraId="41D07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7" w:hRule="atLeast"/>
          <w:jc w:val="center"/>
        </w:trPr>
        <w:tc>
          <w:tcPr>
            <w:tcW w:w="959" w:type="dxa"/>
            <w:shd w:val="clear" w:color="auto" w:fill="auto"/>
            <w:vAlign w:val="center"/>
          </w:tcPr>
          <w:p w14:paraId="72A29CF8">
            <w:pPr>
              <w:keepNext w:val="0"/>
              <w:keepLines w:val="0"/>
              <w:widowControl/>
              <w:suppressLineNumbers w:val="0"/>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20</w:t>
            </w:r>
          </w:p>
        </w:tc>
        <w:tc>
          <w:tcPr>
            <w:tcW w:w="6450" w:type="dxa"/>
            <w:shd w:val="clear" w:color="auto" w:fill="auto"/>
            <w:vAlign w:val="center"/>
          </w:tcPr>
          <w:p w14:paraId="3EAD8CC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《设计哲学》引领艺哲融合思辨素养培育改革与实践</w:t>
            </w:r>
          </w:p>
        </w:tc>
        <w:tc>
          <w:tcPr>
            <w:tcW w:w="1687" w:type="dxa"/>
            <w:shd w:val="clear" w:color="auto" w:fill="auto"/>
            <w:vAlign w:val="center"/>
          </w:tcPr>
          <w:p w14:paraId="799F7A4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谢伟</w:t>
            </w:r>
          </w:p>
        </w:tc>
        <w:tc>
          <w:tcPr>
            <w:tcW w:w="2421" w:type="dxa"/>
            <w:shd w:val="clear" w:color="auto" w:fill="auto"/>
            <w:vAlign w:val="center"/>
          </w:tcPr>
          <w:p w14:paraId="440477D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哲学学院</w:t>
            </w:r>
          </w:p>
        </w:tc>
        <w:tc>
          <w:tcPr>
            <w:tcW w:w="2080" w:type="dxa"/>
            <w:shd w:val="clear" w:color="auto" w:fill="auto"/>
            <w:vAlign w:val="center"/>
          </w:tcPr>
          <w:p w14:paraId="7B70C3D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一般项目B类</w:t>
            </w:r>
          </w:p>
        </w:tc>
      </w:tr>
      <w:tr w14:paraId="27816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7" w:hRule="atLeast"/>
          <w:jc w:val="center"/>
        </w:trPr>
        <w:tc>
          <w:tcPr>
            <w:tcW w:w="959" w:type="dxa"/>
            <w:shd w:val="clear" w:color="auto" w:fill="auto"/>
            <w:vAlign w:val="center"/>
          </w:tcPr>
          <w:p w14:paraId="07E5CF4C">
            <w:pPr>
              <w:keepNext w:val="0"/>
              <w:keepLines w:val="0"/>
              <w:widowControl/>
              <w:suppressLineNumbers w:val="0"/>
              <w:jc w:val="center"/>
              <w:textAlignment w:val="center"/>
              <w:rPr>
                <w:rFonts w:hint="default"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21</w:t>
            </w:r>
          </w:p>
        </w:tc>
        <w:tc>
          <w:tcPr>
            <w:tcW w:w="6450" w:type="dxa"/>
            <w:shd w:val="clear" w:color="auto" w:fill="auto"/>
            <w:vAlign w:val="center"/>
          </w:tcPr>
          <w:p w14:paraId="4ACACC4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“五育融合”导向下民办艺术院校“体艺融合”体育素养增值评价体系的构建与实践</w:t>
            </w:r>
          </w:p>
        </w:tc>
        <w:tc>
          <w:tcPr>
            <w:tcW w:w="1687" w:type="dxa"/>
            <w:shd w:val="clear" w:color="auto" w:fill="auto"/>
            <w:vAlign w:val="center"/>
          </w:tcPr>
          <w:p w14:paraId="45823FD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罗敏</w:t>
            </w:r>
          </w:p>
        </w:tc>
        <w:tc>
          <w:tcPr>
            <w:tcW w:w="2421" w:type="dxa"/>
            <w:shd w:val="clear" w:color="auto" w:fill="auto"/>
            <w:vAlign w:val="center"/>
          </w:tcPr>
          <w:p w14:paraId="75D516A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通识教育学院</w:t>
            </w:r>
          </w:p>
          <w:p w14:paraId="0654B2B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（体育部）</w:t>
            </w:r>
          </w:p>
        </w:tc>
        <w:tc>
          <w:tcPr>
            <w:tcW w:w="2080" w:type="dxa"/>
            <w:shd w:val="clear" w:color="auto" w:fill="auto"/>
            <w:vAlign w:val="center"/>
          </w:tcPr>
          <w:p w14:paraId="7391B25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一般项目B类</w:t>
            </w:r>
          </w:p>
        </w:tc>
      </w:tr>
      <w:tr w14:paraId="1E710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7" w:hRule="atLeast"/>
          <w:jc w:val="center"/>
        </w:trPr>
        <w:tc>
          <w:tcPr>
            <w:tcW w:w="959" w:type="dxa"/>
            <w:shd w:val="clear" w:color="auto" w:fill="auto"/>
            <w:vAlign w:val="center"/>
          </w:tcPr>
          <w:p w14:paraId="36396658">
            <w:pPr>
              <w:keepNext w:val="0"/>
              <w:keepLines w:val="0"/>
              <w:widowControl/>
              <w:suppressLineNumbers w:val="0"/>
              <w:jc w:val="center"/>
              <w:textAlignment w:val="center"/>
              <w:rPr>
                <w:rFonts w:hint="default"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22</w:t>
            </w:r>
          </w:p>
        </w:tc>
        <w:tc>
          <w:tcPr>
            <w:tcW w:w="6450" w:type="dxa"/>
            <w:shd w:val="clear" w:color="auto" w:fill="auto"/>
            <w:vAlign w:val="center"/>
          </w:tcPr>
          <w:p w14:paraId="55620E1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高校艺术疗愈创客工坊“一体两翼、三阶递进、四重转化”模式的构建与实践</w:t>
            </w:r>
          </w:p>
        </w:tc>
        <w:tc>
          <w:tcPr>
            <w:tcW w:w="1687" w:type="dxa"/>
            <w:shd w:val="clear" w:color="auto" w:fill="auto"/>
            <w:vAlign w:val="center"/>
          </w:tcPr>
          <w:p w14:paraId="2CEED77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王涵</w:t>
            </w:r>
          </w:p>
        </w:tc>
        <w:tc>
          <w:tcPr>
            <w:tcW w:w="2421" w:type="dxa"/>
            <w:shd w:val="clear" w:color="auto" w:fill="auto"/>
            <w:vAlign w:val="center"/>
          </w:tcPr>
          <w:p w14:paraId="43DE512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创新创业学院</w:t>
            </w:r>
          </w:p>
        </w:tc>
        <w:tc>
          <w:tcPr>
            <w:tcW w:w="2080" w:type="dxa"/>
            <w:shd w:val="clear" w:color="auto" w:fill="auto"/>
            <w:vAlign w:val="center"/>
          </w:tcPr>
          <w:p w14:paraId="67A127A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一般项目B类</w:t>
            </w:r>
          </w:p>
        </w:tc>
      </w:tr>
    </w:tbl>
    <w:p w14:paraId="5E0CEF9D">
      <w:pPr>
        <w:rPr>
          <w:rFonts w:hint="eastAsia" w:ascii="方正仿宋简体" w:hAnsi="方正仿宋简体" w:eastAsia="方正仿宋简体" w:cs="方正仿宋简体"/>
          <w:sz w:val="30"/>
          <w:szCs w:val="30"/>
          <w:lang w:val="en-US" w:eastAsia="zh-CN"/>
        </w:rPr>
      </w:pPr>
    </w:p>
    <w:sectPr>
      <w:footerReference r:id="rId3" w:type="default"/>
      <w:pgSz w:w="16838" w:h="11906" w:orient="landscape"/>
      <w:pgMar w:top="1587" w:right="1701" w:bottom="1587"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0"/>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方正兰亭宋_GBK">
    <w:panose1 w:val="02000000000000000000"/>
    <w:charset w:val="86"/>
    <w:family w:val="roman"/>
    <w:pitch w:val="default"/>
    <w:sig w:usb0="A00402BF" w:usb1="38CF7CFA" w:usb2="00002016" w:usb3="00000000" w:csb0="00040001" w:csb1="00000000"/>
  </w:font>
  <w:font w:name="微软雅黑">
    <w:panose1 w:val="020B0503020204020204"/>
    <w:charset w:val="86"/>
    <w:family w:val="swiss"/>
    <w:pitch w:val="default"/>
    <w:sig w:usb0="80000287" w:usb1="2ACF3C50" w:usb2="00000016" w:usb3="00000000" w:csb0="0004001F" w:csb1="00000000"/>
  </w:font>
  <w:font w:name="方正小标宋简体">
    <w:panose1 w:val="02000000000000000000"/>
    <w:charset w:val="86"/>
    <w:family w:val="auto"/>
    <w:pitch w:val="default"/>
    <w:sig w:usb0="00000001" w:usb1="080E0000" w:usb2="00000000" w:usb3="00000000" w:csb0="00040000" w:csb1="00000000"/>
    <w:embedRegular r:id="rId1" w:fontKey="{1A34E4F3-8ADB-47A6-AADE-8D07EA83D6C5}"/>
  </w:font>
  <w:font w:name="方正仿宋简体">
    <w:panose1 w:val="02010601030101010101"/>
    <w:charset w:val="86"/>
    <w:family w:val="auto"/>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2A19F">
    <w:pPr>
      <w:pStyle w:val="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34C1C9">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0734C1C9">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QzNjdmYWE1YTA1ZjA0Mjk2ZGQ1MTI1NzAyNTM1YmUifQ=="/>
  </w:docVars>
  <w:rsids>
    <w:rsidRoot w:val="001C1AB7"/>
    <w:rsid w:val="000373D0"/>
    <w:rsid w:val="000414E8"/>
    <w:rsid w:val="0005475F"/>
    <w:rsid w:val="000728C1"/>
    <w:rsid w:val="000A623C"/>
    <w:rsid w:val="000C304B"/>
    <w:rsid w:val="000F7756"/>
    <w:rsid w:val="00102E48"/>
    <w:rsid w:val="00114FF2"/>
    <w:rsid w:val="00115AA0"/>
    <w:rsid w:val="0013109A"/>
    <w:rsid w:val="0014143F"/>
    <w:rsid w:val="00171C07"/>
    <w:rsid w:val="001C1AB7"/>
    <w:rsid w:val="001C4230"/>
    <w:rsid w:val="001F52AC"/>
    <w:rsid w:val="0022625F"/>
    <w:rsid w:val="002C60BF"/>
    <w:rsid w:val="00300462"/>
    <w:rsid w:val="00330230"/>
    <w:rsid w:val="003757AA"/>
    <w:rsid w:val="003A1156"/>
    <w:rsid w:val="003D76C8"/>
    <w:rsid w:val="00425649"/>
    <w:rsid w:val="00461797"/>
    <w:rsid w:val="004B2F91"/>
    <w:rsid w:val="00566C6F"/>
    <w:rsid w:val="00567B16"/>
    <w:rsid w:val="00600281"/>
    <w:rsid w:val="00673E64"/>
    <w:rsid w:val="00736F32"/>
    <w:rsid w:val="00764210"/>
    <w:rsid w:val="008173E4"/>
    <w:rsid w:val="00817C98"/>
    <w:rsid w:val="0085025B"/>
    <w:rsid w:val="008B082D"/>
    <w:rsid w:val="008D0219"/>
    <w:rsid w:val="00902D4E"/>
    <w:rsid w:val="00902FE1"/>
    <w:rsid w:val="00911E6E"/>
    <w:rsid w:val="0091222F"/>
    <w:rsid w:val="00927F20"/>
    <w:rsid w:val="00934EB8"/>
    <w:rsid w:val="00945F8F"/>
    <w:rsid w:val="00970397"/>
    <w:rsid w:val="00977721"/>
    <w:rsid w:val="009B4529"/>
    <w:rsid w:val="009F4755"/>
    <w:rsid w:val="00A056CF"/>
    <w:rsid w:val="00A0755B"/>
    <w:rsid w:val="00A42D78"/>
    <w:rsid w:val="00A8010B"/>
    <w:rsid w:val="00A81FA9"/>
    <w:rsid w:val="00A8462B"/>
    <w:rsid w:val="00AA08E2"/>
    <w:rsid w:val="00AB7B13"/>
    <w:rsid w:val="00C05ADF"/>
    <w:rsid w:val="00C46F7D"/>
    <w:rsid w:val="00C75229"/>
    <w:rsid w:val="00CB665F"/>
    <w:rsid w:val="00CC22B4"/>
    <w:rsid w:val="00D0661B"/>
    <w:rsid w:val="00D32066"/>
    <w:rsid w:val="00D35A16"/>
    <w:rsid w:val="00DD29FF"/>
    <w:rsid w:val="00E315F3"/>
    <w:rsid w:val="00E61412"/>
    <w:rsid w:val="00EE067A"/>
    <w:rsid w:val="00EF121E"/>
    <w:rsid w:val="00F13CAC"/>
    <w:rsid w:val="00F6359E"/>
    <w:rsid w:val="00F854AF"/>
    <w:rsid w:val="01CA216C"/>
    <w:rsid w:val="01FC6F42"/>
    <w:rsid w:val="068F128E"/>
    <w:rsid w:val="07F83BAC"/>
    <w:rsid w:val="09136988"/>
    <w:rsid w:val="0922463B"/>
    <w:rsid w:val="09736C45"/>
    <w:rsid w:val="0A322F8D"/>
    <w:rsid w:val="0A695A06"/>
    <w:rsid w:val="0A851CA4"/>
    <w:rsid w:val="0C9358E9"/>
    <w:rsid w:val="0CC27E45"/>
    <w:rsid w:val="0EEA2FAF"/>
    <w:rsid w:val="12DC4BE1"/>
    <w:rsid w:val="131D75A3"/>
    <w:rsid w:val="13F439B8"/>
    <w:rsid w:val="146840EC"/>
    <w:rsid w:val="15DE4629"/>
    <w:rsid w:val="17171557"/>
    <w:rsid w:val="18DA601D"/>
    <w:rsid w:val="196C3301"/>
    <w:rsid w:val="19855C98"/>
    <w:rsid w:val="1A0F6516"/>
    <w:rsid w:val="1AFF2A2E"/>
    <w:rsid w:val="1D9420F9"/>
    <w:rsid w:val="213C0ED8"/>
    <w:rsid w:val="216F21EB"/>
    <w:rsid w:val="233E7DBC"/>
    <w:rsid w:val="23B75C54"/>
    <w:rsid w:val="23BA0769"/>
    <w:rsid w:val="240834CF"/>
    <w:rsid w:val="25230AFF"/>
    <w:rsid w:val="2596136E"/>
    <w:rsid w:val="28266A67"/>
    <w:rsid w:val="288E23E2"/>
    <w:rsid w:val="298B4764"/>
    <w:rsid w:val="2AE845D1"/>
    <w:rsid w:val="2C8D792D"/>
    <w:rsid w:val="2CFF4878"/>
    <w:rsid w:val="2E36478B"/>
    <w:rsid w:val="2F120B2A"/>
    <w:rsid w:val="2F6D7B0F"/>
    <w:rsid w:val="314D0CC2"/>
    <w:rsid w:val="33354152"/>
    <w:rsid w:val="33711B36"/>
    <w:rsid w:val="33E83C08"/>
    <w:rsid w:val="35300FAC"/>
    <w:rsid w:val="37320B19"/>
    <w:rsid w:val="378731CC"/>
    <w:rsid w:val="382149AD"/>
    <w:rsid w:val="38796C61"/>
    <w:rsid w:val="3A0E637D"/>
    <w:rsid w:val="3B22003D"/>
    <w:rsid w:val="3E9055C8"/>
    <w:rsid w:val="3EAA1337"/>
    <w:rsid w:val="3FC538B1"/>
    <w:rsid w:val="3FD00CEA"/>
    <w:rsid w:val="40E816EB"/>
    <w:rsid w:val="41265D6F"/>
    <w:rsid w:val="4246431B"/>
    <w:rsid w:val="424C7E2C"/>
    <w:rsid w:val="4432089B"/>
    <w:rsid w:val="45A71B75"/>
    <w:rsid w:val="47AA6646"/>
    <w:rsid w:val="49E35145"/>
    <w:rsid w:val="4A67778F"/>
    <w:rsid w:val="4CAC4819"/>
    <w:rsid w:val="4DCD5FD6"/>
    <w:rsid w:val="4F5440CA"/>
    <w:rsid w:val="52186E7A"/>
    <w:rsid w:val="54C46E40"/>
    <w:rsid w:val="55A91C6D"/>
    <w:rsid w:val="55F8221B"/>
    <w:rsid w:val="57AC301B"/>
    <w:rsid w:val="58B35D64"/>
    <w:rsid w:val="59285CD8"/>
    <w:rsid w:val="597476A6"/>
    <w:rsid w:val="5A0F57E8"/>
    <w:rsid w:val="5A2D6006"/>
    <w:rsid w:val="5ADC59C5"/>
    <w:rsid w:val="5BBB7CD0"/>
    <w:rsid w:val="5C8E01AF"/>
    <w:rsid w:val="5E2578D0"/>
    <w:rsid w:val="5E302E36"/>
    <w:rsid w:val="5EAF52FC"/>
    <w:rsid w:val="5FEC3B1E"/>
    <w:rsid w:val="6007171B"/>
    <w:rsid w:val="60A800F7"/>
    <w:rsid w:val="61954B1F"/>
    <w:rsid w:val="61E87043"/>
    <w:rsid w:val="61FB63BE"/>
    <w:rsid w:val="628B1749"/>
    <w:rsid w:val="63FF15CF"/>
    <w:rsid w:val="648519FF"/>
    <w:rsid w:val="64EC0EFA"/>
    <w:rsid w:val="657B5DDA"/>
    <w:rsid w:val="66F14361"/>
    <w:rsid w:val="67957627"/>
    <w:rsid w:val="69D947AA"/>
    <w:rsid w:val="6ED666A3"/>
    <w:rsid w:val="708869D1"/>
    <w:rsid w:val="7090734C"/>
    <w:rsid w:val="73722DEC"/>
    <w:rsid w:val="73BB5AFC"/>
    <w:rsid w:val="7641312D"/>
    <w:rsid w:val="789A02BE"/>
    <w:rsid w:val="7A1960CD"/>
    <w:rsid w:val="7B3D06D4"/>
    <w:rsid w:val="7C6F547A"/>
    <w:rsid w:val="7C9336B1"/>
    <w:rsid w:val="7D775DA0"/>
    <w:rsid w:val="7E2449EC"/>
    <w:rsid w:val="7E3C635A"/>
    <w:rsid w:val="7EBE7B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uiPriority="99" w:name="annotation text"/>
    <w:lsdException w:qFormat="1"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4"/>
    <w:basedOn w:val="1"/>
    <w:next w:val="1"/>
    <w:autoRedefine/>
    <w:qFormat/>
    <w:uiPriority w:val="0"/>
    <w:pPr>
      <w:keepNext/>
      <w:keepLines/>
      <w:spacing w:before="280" w:after="290" w:line="376" w:lineRule="auto"/>
      <w:outlineLvl w:val="3"/>
    </w:pPr>
    <w:rPr>
      <w:rFonts w:ascii="Cambria" w:hAnsi="Cambria"/>
      <w:b/>
      <w:bCs/>
      <w:sz w:val="28"/>
      <w:szCs w:val="28"/>
    </w:rPr>
  </w:style>
  <w:style w:type="character" w:default="1" w:styleId="9">
    <w:name w:val="Default Paragraph Font"/>
    <w:autoRedefine/>
    <w:semiHidden/>
    <w:unhideWhenUsed/>
    <w:qFormat/>
    <w:uiPriority w:val="1"/>
  </w:style>
  <w:style w:type="table" w:default="1" w:styleId="7">
    <w:name w:val="Normal Table"/>
    <w:autoRedefine/>
    <w:semiHidden/>
    <w:unhideWhenUsed/>
    <w:qFormat/>
    <w:uiPriority w:val="99"/>
    <w:tblPr>
      <w:tblCellMar>
        <w:top w:w="0" w:type="dxa"/>
        <w:left w:w="108" w:type="dxa"/>
        <w:bottom w:w="0" w:type="dxa"/>
        <w:right w:w="108" w:type="dxa"/>
      </w:tblCellMar>
    </w:tblPr>
  </w:style>
  <w:style w:type="paragraph" w:styleId="2">
    <w:name w:val="Normal Indent"/>
    <w:basedOn w:val="1"/>
    <w:autoRedefine/>
    <w:unhideWhenUsed/>
    <w:qFormat/>
    <w:uiPriority w:val="99"/>
    <w:pPr>
      <w:ind w:firstLine="420" w:firstLineChars="200"/>
    </w:pPr>
  </w:style>
  <w:style w:type="paragraph" w:styleId="4">
    <w:name w:val="footer"/>
    <w:basedOn w:val="1"/>
    <w:autoRedefine/>
    <w:qFormat/>
    <w:uiPriority w:val="99"/>
    <w:pPr>
      <w:tabs>
        <w:tab w:val="center" w:pos="4153"/>
        <w:tab w:val="right" w:pos="8306"/>
      </w:tabs>
      <w:snapToGrid w:val="0"/>
      <w:jc w:val="left"/>
    </w:pPr>
    <w:rPr>
      <w:sz w:val="18"/>
      <w:szCs w:val="18"/>
    </w:rPr>
  </w:style>
  <w:style w:type="paragraph" w:styleId="5">
    <w:name w:val="header"/>
    <w:basedOn w:val="1"/>
    <w:link w:val="11"/>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autoRedefine/>
    <w:qFormat/>
    <w:uiPriority w:val="0"/>
    <w:pPr>
      <w:widowControl/>
      <w:spacing w:before="100" w:beforeAutospacing="1" w:after="100" w:afterAutospacing="1"/>
      <w:jc w:val="left"/>
    </w:pPr>
    <w:rPr>
      <w:rFonts w:ascii="宋体" w:hAnsi="宋体" w:cs="宋体"/>
      <w:kern w:val="0"/>
      <w:sz w:val="24"/>
    </w:rPr>
  </w:style>
  <w:style w:type="table" w:styleId="8">
    <w:name w:val="Table Grid"/>
    <w:basedOn w:val="7"/>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Table Paragraph"/>
    <w:basedOn w:val="1"/>
    <w:autoRedefine/>
    <w:qFormat/>
    <w:uiPriority w:val="1"/>
    <w:rPr>
      <w:rFonts w:ascii="宋体" w:hAnsi="宋体" w:cs="宋体"/>
      <w:lang w:val="zh-CN" w:bidi="zh-CN"/>
    </w:rPr>
  </w:style>
  <w:style w:type="character" w:customStyle="1" w:styleId="11">
    <w:name w:val="页眉 字符"/>
    <w:basedOn w:val="9"/>
    <w:link w:val="5"/>
    <w:autoRedefine/>
    <w:qFormat/>
    <w:uiPriority w:val="99"/>
    <w:rPr>
      <w:kern w:val="2"/>
      <w:sz w:val="18"/>
      <w:szCs w:val="18"/>
    </w:rPr>
  </w:style>
  <w:style w:type="paragraph" w:customStyle="1" w:styleId="12">
    <w:name w:val="段落正文"/>
    <w:basedOn w:val="1"/>
    <w:autoRedefine/>
    <w:unhideWhenUsed/>
    <w:qFormat/>
    <w:uiPriority w:val="99"/>
    <w:pPr>
      <w:spacing w:line="400" w:lineRule="atLeast"/>
      <w:ind w:firstLine="454"/>
    </w:pPr>
    <w:rPr>
      <w:rFonts w:hint="eastAsia" w:ascii="方正兰亭宋_GBK" w:hAnsi="方正兰亭宋_GBK" w:eastAsia="方正兰亭宋_GBK"/>
      <w:color w:val="000000"/>
      <w:spacing w:val="-4"/>
      <w:sz w:val="22"/>
      <w:lang w:val="zh-CN"/>
    </w:rPr>
  </w:style>
  <w:style w:type="character" w:customStyle="1" w:styleId="13">
    <w:name w:val="font11"/>
    <w:basedOn w:val="9"/>
    <w:autoRedefine/>
    <w:qFormat/>
    <w:uiPriority w:val="0"/>
    <w:rPr>
      <w:rFonts w:hint="eastAsia" w:ascii="宋体" w:hAnsi="宋体" w:eastAsia="宋体" w:cs="宋体"/>
      <w:color w:val="000000"/>
      <w:sz w:val="24"/>
      <w:szCs w:val="24"/>
      <w:u w:val="none"/>
    </w:rPr>
  </w:style>
  <w:style w:type="character" w:customStyle="1" w:styleId="14">
    <w:name w:val="font31"/>
    <w:basedOn w:val="9"/>
    <w:qFormat/>
    <w:uiPriority w:val="0"/>
    <w:rPr>
      <w:rFonts w:ascii="微软雅黑" w:hAnsi="微软雅黑" w:eastAsia="微软雅黑" w:cs="微软雅黑"/>
      <w:color w:val="000000"/>
      <w:sz w:val="24"/>
      <w:szCs w:val="24"/>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63966f38-576f-452d-bd14-941df09f58b4</errorID>
      <errorWord>、</errorWord>
      <group>L1_Word</group>
      <groupName>字词问题</groupName>
      <ability>L2_Typo</ability>
      <abilityName>字词错误</abilityName>
      <candidateList>
        <item>、各</item>
      </candidateList>
      <explain/>
      <paraID>658DE23B</paraID>
      <start>5</start>
      <end>6</end>
      <status>ignored</status>
      <modifiedWord/>
      <trackRevisions>false</trackRevisions>
    </reviewItem>
    <reviewItem>
      <errorID>c428c27a-f4dd-45e1-94b7-d9b15d83d7ee</errorID>
      <errorWord>-</errorWord>
      <group>L1_Format</group>
      <groupName>格式问题</groupName>
      <ability>L2_HalfPunc</ability>
      <abilityName>全半角检查</abilityName>
      <candidateList>
        <item>－</item>
      </candidateList>
      <explain>文本全半角错误。</explain>
      <paraID>6B8E0559</paraID>
      <start>21</start>
      <end>22</end>
      <status>unmodified</status>
      <modifiedWord/>
      <trackRevisions>false</trackRevisions>
    </reviewItem>
    <reviewItem>
      <errorID>b64f043b-737e-4e77-afe1-edc36ff692ca</errorID>
      <errorWord>-</errorWord>
      <group>L1_Format</group>
      <groupName>格式问题</groupName>
      <ability>L2_HalfPunc</ability>
      <abilityName>全半角检查</abilityName>
      <candidateList>
        <item>－</item>
      </candidateList>
      <explain>文本全半角错误。</explain>
      <paraID>6B8E0559</paraID>
      <start>22</start>
      <end>23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d722eb8-37e1-43c0-937f-c53036bde7ed}">
  <ds:schemaRefs/>
</ds:datastoreItem>
</file>

<file path=docProps/app.xml><?xml version="1.0" encoding="utf-8"?>
<Properties xmlns="http://schemas.openxmlformats.org/officeDocument/2006/extended-properties" xmlns:vt="http://schemas.openxmlformats.org/officeDocument/2006/docPropsVTypes">
  <Template>Normal</Template>
  <Pages>4</Pages>
  <Words>1598</Words>
  <Characters>1673</Characters>
  <Lines>10</Lines>
  <Paragraphs>3</Paragraphs>
  <TotalTime>10</TotalTime>
  <ScaleCrop>false</ScaleCrop>
  <LinksUpToDate>false</LinksUpToDate>
  <CharactersWithSpaces>1687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2023-03-28T12:28:00Z</dcterms:created>
  <dc:creator>翔</dc:creator>
  <cp:lastModifiedBy>Patuo</cp:lastModifiedBy>
  <cp:lastPrinted>2026-04-15T01:39:00Z</cp:lastPrinted>
  <dcterms:modified xsi:type="dcterms:W3CDTF">2026-05-08T00:52:08Z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540D7DB441AC4BA988B927A3D43F6FA1</vt:lpwstr>
  </property>
  <property fmtid="{D5CDD505-2E9C-101B-9397-08002B2CF9AE}" pid="4" name="KSOTemplateDocerSaveRecord">
    <vt:lpwstr>eyJoZGlkIjoiMDY1ZmQ0NGY3NDM4ZTAxMjRiMTUyNmEzMWViYjc1YjkiLCJ1c2VySWQiOiIyOTgyMDI5MzUifQ==</vt:lpwstr>
  </property>
</Properties>
</file>