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FB4EDF"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 w14:paraId="0D4DA275">
      <w:pPr>
        <w:adjustRightInd w:val="0"/>
        <w:snapToGrid w:val="0"/>
        <w:spacing w:line="570" w:lineRule="exact"/>
        <w:jc w:val="center"/>
        <w:rPr>
          <w:rFonts w:hint="eastAsia" w:ascii="微软雅黑" w:hAnsi="微软雅黑" w:eastAsia="微软雅黑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ZhpqF2QAAAAYBAAAPAAAAAAAA&#10;AAEAIAAAACIAAABkcnMvZG93bnJldi54bWxQSwECFAAUAAAACACHTuJA+BJwitgBAACNAwAADgAA&#10;AAAAAAABACAAAAAoAQAAZHJzL2Uyb0RvYy54bWxQSwUGAAAAAAYABgBZAQAAcgU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color w:val="auto"/>
          <w:sz w:val="32"/>
          <w:szCs w:val="32"/>
        </w:rPr>
        <w:t>北艺教发〔20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26</w:t>
      </w:r>
      <w:r>
        <w:rPr>
          <w:rFonts w:hint="eastAsia" w:ascii="方正仿宋简体" w:eastAsia="方正仿宋简体"/>
          <w:color w:val="auto"/>
          <w:sz w:val="32"/>
          <w:szCs w:val="32"/>
        </w:rPr>
        <w:t>〕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22</w:t>
      </w:r>
      <w:r>
        <w:rPr>
          <w:rFonts w:hint="eastAsia" w:ascii="方正仿宋简体" w:eastAsia="方正仿宋简体"/>
          <w:color w:val="auto"/>
          <w:sz w:val="32"/>
          <w:szCs w:val="32"/>
        </w:rPr>
        <w:t>号</w:t>
      </w:r>
    </w:p>
    <w:p w14:paraId="15995E8B">
      <w:pPr>
        <w:pStyle w:val="9"/>
        <w:widowControl/>
        <w:spacing w:line="570" w:lineRule="exact"/>
        <w:ind w:firstLine="0" w:firstLineChars="0"/>
        <w:rPr>
          <w:rFonts w:hint="eastAsia" w:ascii="微软雅黑" w:hAnsi="微软雅黑" w:eastAsia="微软雅黑"/>
          <w:b/>
          <w:bCs/>
          <w:color w:val="000000"/>
          <w:sz w:val="32"/>
          <w:szCs w:val="32"/>
          <w:shd w:val="clear" w:color="auto" w:fill="FFFFFF"/>
        </w:rPr>
      </w:pPr>
    </w:p>
    <w:p w14:paraId="6122B4EA">
      <w:pPr>
        <w:adjustRightInd w:val="0"/>
        <w:snapToGrid w:val="0"/>
        <w:spacing w:line="57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关于印发《北海艺术设计学院校外实践教学</w:t>
      </w:r>
    </w:p>
    <w:p w14:paraId="3050B06F">
      <w:pPr>
        <w:adjustRightInd w:val="0"/>
        <w:snapToGrid w:val="0"/>
        <w:spacing w:line="570" w:lineRule="exact"/>
        <w:jc w:val="center"/>
        <w:rPr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安全突发事件应急预案》的通知</w:t>
      </w:r>
    </w:p>
    <w:p w14:paraId="37B743C8">
      <w:pPr>
        <w:pStyle w:val="9"/>
        <w:widowControl/>
        <w:spacing w:line="570" w:lineRule="exact"/>
        <w:ind w:firstLine="0" w:firstLineChars="0"/>
        <w:jc w:val="center"/>
        <w:rPr>
          <w:rFonts w:ascii="方正仿宋简体" w:eastAsia="方正仿宋简体"/>
          <w:sz w:val="32"/>
          <w:szCs w:val="32"/>
        </w:rPr>
      </w:pPr>
    </w:p>
    <w:p w14:paraId="2EB4DF0C">
      <w:pPr>
        <w:spacing w:line="570" w:lineRule="exact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仿宋简体" w:eastAsia="方正仿宋简体"/>
          <w:sz w:val="32"/>
          <w:szCs w:val="32"/>
        </w:rPr>
        <w:t>学校各部门、单位：</w:t>
      </w:r>
    </w:p>
    <w:p w14:paraId="56516663">
      <w:pPr>
        <w:spacing w:line="570" w:lineRule="exact"/>
        <w:ind w:firstLine="640" w:firstLineChars="200"/>
        <w:outlineLvl w:val="0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为切实加强校外实践教学全流程安全管理，全面提升学校突发事件应急处置能力，保障师生人身财产安全和教育教学秩序稳定，学校制定了《北海艺术设计学院校外实践教学安全突发事件应急预案》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  <w:r>
        <w:rPr>
          <w:rFonts w:hint="eastAsia" w:ascii="方正仿宋简体" w:eastAsia="方正仿宋简体"/>
          <w:color w:val="000000"/>
          <w:sz w:val="32"/>
          <w:szCs w:val="32"/>
        </w:rPr>
        <w:t>现予以印发，请认真贯彻执行。</w:t>
      </w:r>
    </w:p>
    <w:p w14:paraId="2B4A2199">
      <w:pPr>
        <w:pStyle w:val="9"/>
        <w:widowControl/>
        <w:spacing w:line="570" w:lineRule="exact"/>
        <w:ind w:firstLine="64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</w:p>
    <w:p w14:paraId="216C733C">
      <w:pPr>
        <w:pStyle w:val="9"/>
        <w:widowControl/>
        <w:spacing w:line="570" w:lineRule="exact"/>
        <w:ind w:firstLine="64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</w:p>
    <w:p w14:paraId="0677CF16">
      <w:pPr>
        <w:pStyle w:val="9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0" w:firstLineChars="0"/>
        <w:jc w:val="right"/>
        <w:textAlignment w:val="auto"/>
        <w:rPr>
          <w:rFonts w:hint="default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北海艺术设计学院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 xml:space="preserve">    </w:t>
      </w:r>
    </w:p>
    <w:p w14:paraId="20267597">
      <w:pPr>
        <w:pStyle w:val="9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0" w:firstLineChars="0"/>
        <w:jc w:val="right"/>
        <w:textAlignment w:val="auto"/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2026年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21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日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 xml:space="preserve">    </w:t>
      </w:r>
    </w:p>
    <w:p w14:paraId="5D8D3BEB">
      <w:pPr>
        <w:rPr>
          <w:rFonts w:hint="eastAsia" w:ascii="方正仿宋简体" w:hAnsi="方正仿宋简体" w:eastAsia="方正仿宋简体" w:cs="方正仿宋简体"/>
          <w:color w:val="FF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FF0000"/>
          <w:kern w:val="0"/>
          <w:sz w:val="32"/>
          <w:szCs w:val="32"/>
          <w:lang w:val="en-US" w:eastAsia="zh-CN"/>
        </w:rPr>
        <w:br w:type="page"/>
      </w:r>
    </w:p>
    <w:p w14:paraId="7453E2AD">
      <w:pPr>
        <w:pStyle w:val="9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firstLine="0" w:firstLineChars="0"/>
        <w:jc w:val="right"/>
        <w:textAlignment w:val="auto"/>
        <w:rPr>
          <w:rFonts w:hint="default" w:ascii="方正仿宋简体" w:hAnsi="方正仿宋简体" w:eastAsia="方正仿宋简体" w:cs="方正仿宋简体"/>
          <w:color w:val="FF0000"/>
          <w:kern w:val="0"/>
          <w:sz w:val="32"/>
          <w:szCs w:val="32"/>
          <w:lang w:val="en-US" w:eastAsia="zh-CN"/>
        </w:rPr>
      </w:pPr>
    </w:p>
    <w:p w14:paraId="47F98D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spacing w:val="-6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spacing w:val="-6"/>
          <w:kern w:val="0"/>
          <w:sz w:val="44"/>
          <w:szCs w:val="44"/>
          <w:lang w:val="en-US" w:eastAsia="zh-CN" w:bidi="ar"/>
        </w:rPr>
        <w:t>北海艺术设计学院校外实践教学安全</w:t>
      </w:r>
    </w:p>
    <w:p w14:paraId="6111A3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spacing w:val="-6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spacing w:val="-6"/>
          <w:kern w:val="0"/>
          <w:sz w:val="44"/>
          <w:szCs w:val="44"/>
          <w:lang w:val="en-US" w:eastAsia="zh-CN" w:bidi="ar"/>
        </w:rPr>
        <w:t>突发事件应急预案</w:t>
      </w:r>
    </w:p>
    <w:p w14:paraId="3F8AAAD6">
      <w:pPr>
        <w:spacing w:line="570" w:lineRule="exact"/>
        <w:ind w:firstLine="0" w:firstLineChars="0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2FB78FC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kern w:val="44"/>
          <w:sz w:val="32"/>
          <w:szCs w:val="32"/>
        </w:rPr>
      </w:pP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"/>
        </w:rPr>
        <w:t>一、总则</w:t>
      </w:r>
    </w:p>
    <w:p w14:paraId="3FE66C0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（一）制定目的与依据</w:t>
      </w:r>
    </w:p>
    <w:p w14:paraId="3B20F7C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为有效预防和科学处置校外实践教学安全突发事件，规范处置流程，提升快速响应与协同处置能力，预防和最大限度减少事故造成的人员伤亡、财产损失与社会影响，保障师生生命财产安全，维护教学秩序与学校稳定。</w:t>
      </w:r>
    </w:p>
    <w:p w14:paraId="2994A35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根据《中华人民共和国突发事件应对法》《生产安全事故报告和调查处理条例》《教育系统突发公共事件应急预案》《国家突发事件总体应急预案》《突发公共卫生事件应急条例》《中华人民共和国安全生产法》《教育系统公共卫生类突发事件应急预案》《高等学校实验室安全规范》及相关文件要求，结合学校校外实践教学，特制定本预案。</w:t>
      </w:r>
    </w:p>
    <w:p w14:paraId="71228F9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（二）适用范围</w:t>
      </w:r>
    </w:p>
    <w:p w14:paraId="203ABB9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本预案适用于人才培养方案中开设的校外实践教学活动（写生采风、考察调研、技能实训等类型），涵盖各类活动中安全突发事件的预防、预警、处置及善后工作，涉及全体参与实践教学的师生员工、相关职能部门及合作单位。</w:t>
      </w:r>
    </w:p>
    <w:p w14:paraId="79D5E7F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（三）工作原则</w:t>
      </w:r>
    </w:p>
    <w:p w14:paraId="5A9407C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坚持以人为本，生命至上，切实保障师生生命健康安全，杜绝二次伤害；遵循依法规范、科学处置的原则，严格依据相关法律法规开展处置工作，精准研判风险，有效防范次生灾害；实行统一领导、分级负责，健全校、院、实践教学点三级应急响应体系，逐级落实责任机制；预防为主，常态化开展安全工作并完善保障；做到快速反应、协同应对，建立健全校内外联动机制，强化部门协作。</w:t>
      </w:r>
    </w:p>
    <w:p w14:paraId="0BEB168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kern w:val="44"/>
          <w:sz w:val="32"/>
          <w:szCs w:val="32"/>
        </w:rPr>
      </w:pP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"/>
        </w:rPr>
        <w:t>二、突发事件的分类与分级</w:t>
      </w:r>
    </w:p>
    <w:p w14:paraId="03C9D12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（一）突发事件分类</w:t>
      </w:r>
    </w:p>
    <w:p w14:paraId="2206C82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结合校外实践教学场景特点，突发事件主要分为以下六大类：</w:t>
      </w:r>
    </w:p>
    <w:p w14:paraId="298394BC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rPr>
          <w:rFonts w:hint="default" w:ascii="Calibri" w:hAnsi="Calibri" w:eastAsia="宋体" w:cs="Times New Roman"/>
          <w:kern w:val="2"/>
          <w:sz w:val="21"/>
          <w:szCs w:val="21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1.事故灾难类：包括交通事故（校车、实习通勤车等）、火灾、爆炸、溺水、触电、设备操作伤害、建筑物坍塌、拥挤踩踏、实践场地环境污染等。</w:t>
      </w:r>
    </w:p>
    <w:p w14:paraId="55502C0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2.公共卫生类：包括群体性食物中毒、传染性疾病（流感、诺如病毒感染等）暴发、群体性不明原因疾病、预防接种不良反应、环境污染致急性中毒等。</w:t>
      </w:r>
    </w:p>
    <w:p w14:paraId="17B0D32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3.社会安全类：包括打架斗殴、盗窃、诈骗、非法传销、人员走失（失踪）、遭遇不法侵害、外来人员滋扰、师生参与非法集会游行，及涉外安全事件。</w:t>
      </w:r>
    </w:p>
    <w:p w14:paraId="16E5AA0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4.自然灾害类：包括暴雨、洪水、地震、泥石流、滑坡、台风、雷电、高温、寒潮等不可抗力引发的灾害及次生灾害。</w:t>
      </w:r>
    </w:p>
    <w:p w14:paraId="4A7F613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5.网络信息安全类：包括网络诈骗、个人信息泄露、不良信息传播、利用网络煽动闹事等影响师生安全或学校稳定的事件。</w:t>
      </w:r>
    </w:p>
    <w:p w14:paraId="1B54ABF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6.其他突发事件：包括实践教学活动被迫中断、重要设备或资料损毁、政策调整或合作纠纷引发的群体性诉求等。</w:t>
      </w:r>
    </w:p>
    <w:p w14:paraId="4F55630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（二）突发事件分级</w:t>
      </w:r>
    </w:p>
    <w:p w14:paraId="180D24B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根据事件严重程度、可控性、影响范围及危害后果，由低到高分为四级：</w:t>
      </w:r>
    </w:p>
    <w:p w14:paraId="33B7A1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Ⅳ级（一般）：事态简单，影响范围局限于单个实践教学点；未造成人员伤亡或仅造成1—2人轻伤；对学校教学秩序产生一定影响。</w:t>
      </w:r>
    </w:p>
    <w:p w14:paraId="7F53D03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Ⅲ级（较大）：事态较复杂，影响涉及单个二级学院多个实践教学点；造成3人及以上5人以下轻伤；对学校教学秩序产生较大影响。</w:t>
      </w:r>
    </w:p>
    <w:p w14:paraId="370195E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Ⅱ级（重大）：事态严重，影响覆盖全校多个二级学院实践教学活动；造成5人以上10人以下师生轻伤或造成1人以上3人以下师生重伤；对学校教学秩序或声誉产生重大影响。</w:t>
      </w:r>
    </w:p>
    <w:p w14:paraId="2544538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Ⅰ级（特别重大）：事态极其严重，造成10人以上师生轻伤或造成3人以上师生重伤或出现人员死亡事故；对学校教学秩序或声誉产生特别重大影响。</w:t>
      </w:r>
    </w:p>
    <w:p w14:paraId="5CA42022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宋体" w:eastAsia="黑体" w:cs="黑体"/>
          <w:kern w:val="44"/>
          <w:sz w:val="32"/>
          <w:szCs w:val="32"/>
        </w:rPr>
      </w:pP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-SA"/>
        </w:rPr>
        <w:t>三、</w:t>
      </w: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"/>
        </w:rPr>
        <w:t>应急组织体系及职责</w:t>
      </w:r>
    </w:p>
    <w:p w14:paraId="1F1018A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"/>
        </w:rPr>
        <w:t>（一）领导小组</w:t>
      </w:r>
    </w:p>
    <w:p w14:paraId="65C65C3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color w:val="auto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"/>
        </w:rPr>
        <w:t>组  长：党委书记、校长</w:t>
      </w:r>
    </w:p>
    <w:p w14:paraId="2967DE2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color w:val="auto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"/>
        </w:rPr>
        <w:t>副组长：分管教学、学生工作、安全保卫及后勤保障的副校长</w:t>
      </w:r>
    </w:p>
    <w:p w14:paraId="2FC1107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"/>
        </w:rPr>
        <w:t>成  员：党委宣传部、教务处（实验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教学中心）、学生工作部（处）、保卫处、后勤保障处、北京实践基地办公室、二级学院和实习单位的主要负责人</w:t>
      </w:r>
    </w:p>
    <w:p w14:paraId="0DEC268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主要职责：</w:t>
      </w:r>
    </w:p>
    <w:p w14:paraId="14A0E66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1.全面领导校外实践教学安全突发事件应急工作，坚决贯彻上级应急处置决策，推动安全管理制度落实。</w:t>
      </w:r>
    </w:p>
    <w:p w14:paraId="78BB99D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2.审定校级应急预案的启动与终止，作为应急指挥中枢，统一调度、合理配置校内应急资源。</w:t>
      </w:r>
    </w:p>
    <w:p w14:paraId="7A1545C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3.协调校外救援力量，组织跨部门协同处置。</w:t>
      </w:r>
    </w:p>
    <w:p w14:paraId="3A933A0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4.统一领导信息发布与舆情应对工作，审核并上报重大情况及信息。</w:t>
      </w:r>
    </w:p>
    <w:p w14:paraId="669A192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5.组织开展事故全面调查、责任认定及系统性整改部署。</w:t>
      </w:r>
    </w:p>
    <w:p w14:paraId="22D9097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6.对处置不力造成不良影响的部门或个人进行责任追究，监督整改落实，完善防范机制，防范同类事件再次发生。</w:t>
      </w:r>
    </w:p>
    <w:p w14:paraId="7369190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（二）处置小组</w:t>
      </w:r>
    </w:p>
    <w:p w14:paraId="789DCFD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组  长：教务处（实验教学中心）处长</w:t>
      </w:r>
    </w:p>
    <w:p w14:paraId="5D45BC3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副组长：学生工作部（处）部长、保卫处处长、后勤保障处处长、财务处处长、北京实践基地办公室等部门负责人及相关二级学院书记、院长</w:t>
      </w:r>
    </w:p>
    <w:p w14:paraId="3D13F21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成  员：教务处（实验教学中心）、学生工作部（处）、保卫处、后勤保障处、财务处、北京实践基地办公室、相关二级学院的工作人员，以及实习单位工作人员</w:t>
      </w:r>
    </w:p>
    <w:p w14:paraId="4E01166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主要职责：</w:t>
      </w:r>
    </w:p>
    <w:p w14:paraId="3D813A0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1.负责贯彻执行领导小组的各项决策，统筹协调应急管理全过程的衔接与督导工作。</w:t>
      </w:r>
    </w:p>
    <w:p w14:paraId="794DAC7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2.负责突发事件信息的接收、汇总，确保信息流转高效、研判精准，及时向领导小组报告事态发展。</w:t>
      </w:r>
    </w:p>
    <w:p w14:paraId="2F61F87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3.统筹应急队伍建设、物资储备等日常工作，协调各成员单位按职责开展行动：</w:t>
      </w:r>
    </w:p>
    <w:p w14:paraId="06551A0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（1）教务处（实验教学中心）：负责调整实践教学安排，保障教学秩序稳定；提供实践教学活动相关资料（人员名单、地点、计划等）；参与事件调查评估。</w:t>
      </w:r>
    </w:p>
    <w:p w14:paraId="0263248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（2）学生工作部（处）：负责学生管理与安抚，组织专业心理咨询服务；配合二级学院接待学生家长，做好家属慰问与善后沟通；统计学生伤亡及受影响情况。</w:t>
      </w:r>
    </w:p>
    <w:p w14:paraId="3C8D67F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（3）保卫处：组织安保力量维护现场秩序，配合公安部门开展现场管控、交通疏导与人员疏散；引导专业救援队伍进入现场；协助开展事故调查取证。</w:t>
      </w:r>
    </w:p>
    <w:p w14:paraId="2B6D30A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（4）后勤保障处：提供应急后勤与医疗保障，包括调配应急车辆、储备药品器械、配合医疗部门转运伤员；保障水、电、通信等基础服务。</w:t>
      </w:r>
    </w:p>
    <w:p w14:paraId="3B6B946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（5）财务处：保障应急处置所需经费及时拨付，负责财产损失统计与保险理赔对接。</w:t>
      </w:r>
    </w:p>
    <w:p w14:paraId="7B7DB82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（6）北京实践基地办公室：对北京实践基地外出学生开展前期安全教育与隐患排查；事件发生后立即组织先期处置，上报信息；负责北京实践基地师生的具体管理、慰问及家属接待。</w:t>
      </w:r>
    </w:p>
    <w:p w14:paraId="3B67D0F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（7）二级学院：履行“第一责任人”职责，开展前期安全教育与隐患排查；事件发生后立即组织先期处置，上报信息；负责本学院师生的具体管理、慰问及家属接待。</w:t>
      </w:r>
    </w:p>
    <w:p w14:paraId="4986EB7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4.负责总结推广应急处置经验，将有效做法转化为常态化安全教育资源。</w:t>
      </w:r>
    </w:p>
    <w:p w14:paraId="04E852D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5.完成领导小组交办的其他任务。</w:t>
      </w:r>
    </w:p>
    <w:p w14:paraId="7F88386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（三）现场应急处置指挥部（临时）</w:t>
      </w:r>
    </w:p>
    <w:p w14:paraId="342A4AC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突发事件发生后，立即在事发地成立现场指挥部，实行总指挥负责制。</w:t>
      </w:r>
    </w:p>
    <w:p w14:paraId="5A36295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总指挥：Ⅰ、Ⅱ级事件由领导小组指定校领导担任；Ⅲ、Ⅳ级事件可由二级学院院长或领队教师担任。</w:t>
      </w:r>
    </w:p>
    <w:p w14:paraId="2A6728F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成员：带队教师、辅导员、实习单位安全负责人、后勤保障人员、医护人员（现场或远程支援）、学生骨干等。</w:t>
      </w:r>
    </w:p>
    <w:p w14:paraId="17EFB35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主要职责：</w:t>
      </w:r>
    </w:p>
    <w:p w14:paraId="1A9503B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1.立即开展先期处置，包括拨打110、120、119等急救电话，组织人员疏散、伤员救护、现场保护等。</w:t>
      </w:r>
    </w:p>
    <w:p w14:paraId="2C750D3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2.坚决执行领导小组指令，作为应急响应的关键操作节点，全面负责现场指挥、协调与后勤保障工作。</w:t>
      </w:r>
    </w:p>
    <w:p w14:paraId="6698B13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3.实时收集事态信息，确保信息源头的准确性与时效性，并向领导小组办公室报告现场情况及处置进展。</w:t>
      </w:r>
    </w:p>
    <w:p w14:paraId="7AF8A72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4.配合专业救援队伍开展工作，安抚现场师生情绪，维护现场秩序，防止事态扩大或衍生新的风险，保障人员安全。</w:t>
      </w:r>
    </w:p>
    <w:p w14:paraId="097E7369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宋体" w:eastAsia="黑体" w:cs="黑体"/>
          <w:kern w:val="44"/>
          <w:sz w:val="32"/>
          <w:szCs w:val="32"/>
        </w:rPr>
      </w:pP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-SA"/>
        </w:rPr>
        <w:t>四、</w:t>
      </w: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"/>
        </w:rPr>
        <w:t>分级响应与处置流程</w:t>
      </w:r>
    </w:p>
    <w:p w14:paraId="4E6AB54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坚持生命至上，落实先控制、后处置、救人第一原则。突发事件发生后，立即按事件级别启动相应应急响应，优先开展人员搜救、医疗救护与疏散安置，迅速控制危险源与事态扩大，统一组织应急处置与救援。</w:t>
      </w:r>
    </w:p>
    <w:p w14:paraId="13D7233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（一）Ⅳ级事件（一般）响应</w:t>
      </w:r>
    </w:p>
    <w:p w14:paraId="4170022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启动主体：二级学院</w:t>
      </w:r>
    </w:p>
    <w:p w14:paraId="4BBEBAF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处置流程：带队教师组织现场处置（轻微伤情处理、财产保护、矛盾调解）；向二级学院领导报告，必要时联系实习单位协助。</w:t>
      </w:r>
    </w:p>
    <w:p w14:paraId="4DE5EB6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（二）Ⅲ级事件（较大）响应</w:t>
      </w:r>
    </w:p>
    <w:p w14:paraId="6885163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启动主体：二级学院，同步报领导小组</w:t>
      </w:r>
    </w:p>
    <w:p w14:paraId="6BCEF93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strike/>
          <w:dstrike w:val="0"/>
          <w:kern w:val="2"/>
          <w:sz w:val="32"/>
          <w:szCs w:val="32"/>
          <w:highlight w:val="yellow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处置流程：现场总指挥组织先期救援（疏散无关人员、保护现场）；二级学院院长赶赴现场（或远程指挥），调动资源，联系当地医疗、公安初步介入；向领导小组报告进展，请求物资、经费支援。</w:t>
      </w:r>
    </w:p>
    <w:p w14:paraId="4017938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（三）Ⅱ级事件（重大）响应</w:t>
      </w:r>
    </w:p>
    <w:p w14:paraId="59A9623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启动主体：领导小组</w:t>
      </w:r>
    </w:p>
    <w:p w14:paraId="362B497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处置流程：领导小组召开紧急会议，启动校级预案，成员单位进入应急岗位；派校领导带队赴现场接管指挥，协调专业救援；学生工作部（处）通知家长并接待，后勤保障处提供食宿交通；党委宣传部监控舆情并发布通报，财务处拨付应急经费；每日向上级上报进展至事件平息。</w:t>
      </w:r>
    </w:p>
    <w:p w14:paraId="58B9CF4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（四）Ⅰ级事件（特别重大）响应</w:t>
      </w:r>
    </w:p>
    <w:p w14:paraId="34DCFEE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启动主体：领导小组、上级主管部门</w:t>
      </w:r>
    </w:p>
    <w:p w14:paraId="679B81F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处置流程：领导小组集结，书记/校长牵头指挥，请求并配合地方政府成立联合指挥部，依照法律法规和预案，统一领导应急处置与救援工作。配合专业救援开展搜救、救治、防次生灾害；成立家属接待组[学生工作部（处）牵头]、医疗保障组（后勤保障处牵头）、舆情应对组（党委宣传部牵头）、事故调查组（保卫处牵头）；按上级要求上报信息，统一对外发布权威消息；事件稳定后配合上级调查与责任认定。</w:t>
      </w:r>
    </w:p>
    <w:p w14:paraId="674D8D0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rightChars="0" w:firstLine="640" w:firstLineChars="200"/>
        <w:jc w:val="both"/>
        <w:textAlignment w:val="auto"/>
        <w:rPr>
          <w:rFonts w:hint="default" w:ascii="黑体" w:hAnsi="宋体" w:eastAsia="黑体" w:cs="黑体"/>
          <w:kern w:val="44"/>
          <w:sz w:val="32"/>
          <w:szCs w:val="32"/>
          <w:lang w:val="en-US" w:eastAsia="zh-CN" w:bidi="ar-SA"/>
        </w:rPr>
      </w:pP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-SA"/>
        </w:rPr>
        <w:t>五、预防与预警</w:t>
      </w:r>
    </w:p>
    <w:p w14:paraId="3E391195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（一）预防措施</w:t>
      </w:r>
      <w:r>
        <w:rPr>
          <w:rFonts w:hint="eastAsia" w:ascii="方正仿宋简体" w:hAnsi="Calibri" w:eastAsia="方正仿宋简体" w:cs="Times New Roman"/>
          <w:kern w:val="2"/>
          <w:sz w:val="32"/>
          <w:szCs w:val="32"/>
          <w:lang w:val="en-US" w:eastAsia="zh-CN" w:bidi="ar"/>
        </w:rPr>
        <w:tab/>
      </w:r>
    </w:p>
    <w:p w14:paraId="702FA566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坚持预防为主、预防与应急相结合的原则，全面构建覆盖实践教学全过程的风险防范体系。</w:t>
      </w:r>
    </w:p>
    <w:p w14:paraId="2E11E7F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1.建立健全安全教育培训体系。学校层面组织开展通用安全教育培训（包括法律法规、应急流程等内容），二级学院开展专项教育（专业操作、实践风险），实习单位进行岗位安全交底；所有培训均须留存记录及签到材料，参与师生须签署《校外实践活动安全责任书》。学校应与实习单位签订合作协议，明确各方安全责任与应急分工，并为参与师生购买意外伤害保险。</w:t>
      </w:r>
    </w:p>
    <w:p w14:paraId="08E993F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2.风险与信息管理：外出前，教务处与二级学院实地评估实践点（排查交通、消防、设备、食品卫生隐患）；实践期间，带队教师每日巡查，实习单位实行“日报告”制度，特殊天气/风险变化时动态排查。建立“校－院－实践点－师生”四级通讯网（24小时畅通），执行每日晚点名制度以核实学生动态，必要时可建立位置共享群组加强管理。</w:t>
      </w:r>
    </w:p>
    <w:p w14:paraId="7B1B367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3.应急准备：注重应急能力与物资的常态化建设。整合教职工、学生骨干与实习单位安全员力量，组建志愿应急队伍，定期开展急救技能与应急疏散演练。开展急救、疏散技能培训；为每个实践团队配置急救包、灭火器、手电筒等物资，由后勤保障处定期检查更新。</w:t>
      </w:r>
    </w:p>
    <w:p w14:paraId="342A3AE9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（二）预警机制</w:t>
      </w:r>
    </w:p>
    <w:p w14:paraId="076EBBA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1.预警接收与分级：领导小组成员接收气象、地质、卫健、应急管理等部门及上级预警信息，按“蓝色（一般）、黄色（较大）、橙色（重大）、红色（特别重大）”分级研判。</w:t>
      </w:r>
    </w:p>
    <w:p w14:paraId="30B3E00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2.预警响应行动：蓝色（教务处发安全提醒，带队教师加强巡查）；黄色（二级学院督促实践点落实防范，暂停高风险环节）；橙色（领导小组办公室会商后，发布调整实践计划通知，组织人员转移）；红色（立即启动校级预案，终止实践，组织撤离；无法撤离时指导就地避险）。</w:t>
      </w:r>
    </w:p>
    <w:p w14:paraId="17AFB07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3.预警解除：收到权威部门解除通知后，领导小组核实情况，及时发布解除信息，指导恢复实践或调整安排。</w:t>
      </w:r>
    </w:p>
    <w:p w14:paraId="45B6CC2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strike/>
          <w:dstrike w:val="0"/>
          <w:kern w:val="44"/>
          <w:sz w:val="32"/>
          <w:szCs w:val="32"/>
        </w:rPr>
      </w:pP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"/>
        </w:rPr>
        <w:t>六、信息上报与措施</w:t>
      </w:r>
    </w:p>
    <w:p w14:paraId="1D17533B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（一）信息报告总体要求</w:t>
      </w:r>
    </w:p>
    <w:p w14:paraId="0C92E61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为规范和加强学校突发事件信息报送工作，学校发生突发事件后，应在第一时间将事件初步情况报告上级教育行政部门、有关主管部门及当地党委、政府。所有级别突发事件均需及时、客观、真实报送，严禁迟报、谎报、瞒报，严禁压制、阻挠紧急信息报送；重大、特别重大突发事件，必要时可越级报送。</w:t>
      </w:r>
    </w:p>
    <w:p w14:paraId="1E548EB0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（二）信息报告机制</w:t>
      </w:r>
    </w:p>
    <w:p w14:paraId="63D390B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3" w:firstLineChars="200"/>
        <w:jc w:val="both"/>
        <w:textAlignment w:val="auto"/>
        <w:rPr>
          <w:rFonts w:hint="eastAsia" w:ascii="方正仿宋简体" w:hAnsi="Calibri" w:eastAsia="方正仿宋简体" w:cs="Times New Roman"/>
          <w:b/>
          <w:bCs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kern w:val="2"/>
          <w:sz w:val="32"/>
          <w:szCs w:val="32"/>
          <w:lang w:val="en-US" w:eastAsia="zh-CN" w:bidi="ar"/>
        </w:rPr>
        <w:t>1.初次报告</w:t>
      </w:r>
    </w:p>
    <w:p w14:paraId="50ECF71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事发后，现场第一发现人或带队教师须立即向现场应急处置指挥部报告，并视情况直接拨打110、120、119等急救电话，同步开展初步应急处置；现场应急处置指挥部接报后，须在规定时间内完成层级报告及向上级报送相关工作。</w:t>
      </w:r>
    </w:p>
    <w:p w14:paraId="6B9C111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初次报告内容：事件发生时间、学校全称、事件发生地点、涉事师生情况、事件详细经过、现场实时情况、伤亡人数与财产损失情况、应急处理及救援进展情况、涉事家属及家长沟通情况、舆情处置情况、事件可控程度、发展趋势、事件的初步性质和事故可能原因等。</w:t>
      </w:r>
    </w:p>
    <w:p w14:paraId="557C66C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3" w:firstLineChars="200"/>
        <w:jc w:val="both"/>
        <w:textAlignment w:val="auto"/>
        <w:rPr>
          <w:rFonts w:hint="eastAsia" w:ascii="方正仿宋简体" w:hAnsi="Calibri" w:eastAsia="方正仿宋简体" w:cs="Times New Roman"/>
          <w:b/>
          <w:bCs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kern w:val="2"/>
          <w:sz w:val="32"/>
          <w:szCs w:val="32"/>
          <w:lang w:val="en-US" w:eastAsia="zh-CN" w:bidi="ar"/>
        </w:rPr>
        <w:t>2.过程报告</w:t>
      </w:r>
    </w:p>
    <w:p w14:paraId="2F99B65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较大和一般突发事件处置过程中，学校应及时将事件发展情况上报教育行政部门；重大、特别重大突发事件处置过程中，学校应每天将事件发展情况上报教育行政部门，必要时加密报送频次。</w:t>
      </w:r>
    </w:p>
    <w:p w14:paraId="7592CC3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过程报告内容：事件发展状态、现场控制情况、伤亡人员伤情变化、事故原因分析、事件性质判断、已采取的应急处置措施、下一步处置安排及工作计划等。</w:t>
      </w:r>
    </w:p>
    <w:p w14:paraId="4441CBF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3" w:firstLineChars="200"/>
        <w:jc w:val="both"/>
        <w:textAlignment w:val="auto"/>
        <w:rPr>
          <w:rFonts w:hint="eastAsia" w:ascii="方正仿宋简体" w:hAnsi="Calibri" w:eastAsia="方正仿宋简体" w:cs="Times New Roman"/>
          <w:b/>
          <w:bCs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kern w:val="2"/>
          <w:sz w:val="32"/>
          <w:szCs w:val="32"/>
          <w:lang w:val="en-US" w:eastAsia="zh-CN" w:bidi="ar"/>
        </w:rPr>
        <w:t>3.结果报告</w:t>
      </w:r>
    </w:p>
    <w:p w14:paraId="3CB65FE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事件处置结束后，学校应将事件处理结果逐级报告上级教育行政部门，确保报告内容完整、结论明确。</w:t>
      </w:r>
    </w:p>
    <w:p w14:paraId="55BA662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结果报送内容：事件最终处理结果、事件造成的影响程度、相关责任追究情况、后续整改措施及落实计划、公众及媒体各方面的反映、长效防控机制完善情况等。</w:t>
      </w:r>
    </w:p>
    <w:p w14:paraId="62F6ABEF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（三）重点场景处置措施</w:t>
      </w:r>
    </w:p>
    <w:p w14:paraId="37C4C64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1.交通事故：组织人员撤离至安全区并设置警示标识；拨122（交警）、120，抢救伤员并保护现场；保卫处对接交警调查，学生工作部（处）通知家属，后勤保障处派人赴医院协助。</w:t>
      </w:r>
    </w:p>
    <w:p w14:paraId="6E8D03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2.人员走失：带队教师组织现场搜寻（询问周边、查监控，必要时联系实习单位或警方）；2小时未找到则拨110报案、发布寻人信息；通报家属并安抚，配合警方调查。</w:t>
      </w:r>
    </w:p>
    <w:p w14:paraId="1869B63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3.群体性食物中毒：停止食用可疑食物并留存样本；拨120送医（告知医生可疑食物）；后勤保障处对接市场监管部门溯源，学生工作部（处）统计发病人员信息；党委宣传部发布健康提示防恐慌。</w:t>
      </w:r>
    </w:p>
    <w:p w14:paraId="55D99C1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4.自然灾害（如暴雨、地震等）：标明危险区域，封锁危险场所，划定警戒区，实行交通管制、限制人员流动以及其他控制措施。组织师生就近避险（地震躲坚固家具下，暴雨远离低洼地）；险情缓解后疏散至安全区、清点人数，禁返危险区；后勤保障处检查物资、保障食品饮水，保卫处防范次生灾害（滑坡、漏电）。</w:t>
      </w:r>
    </w:p>
    <w:p w14:paraId="79F1135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黑体" w:hAnsi="宋体" w:eastAsia="黑体" w:cs="黑体"/>
          <w:kern w:val="44"/>
          <w:sz w:val="32"/>
          <w:szCs w:val="32"/>
        </w:rPr>
      </w:pP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"/>
        </w:rPr>
        <w:t>七、善后处理</w:t>
      </w:r>
    </w:p>
    <w:p w14:paraId="301C19CB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（一）人员救治与安抚</w:t>
      </w:r>
    </w:p>
    <w:p w14:paraId="31FDAEF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后勤保障处跟进受伤师生治疗，协调医院开通绿色通道；学生工作部（处）开展慰问、提供心理疏导，二级学院专人对接家属并通报进展；财务处牵头对接保险公司，协助准备理赔材料。</w:t>
      </w:r>
    </w:p>
    <w:p w14:paraId="3A06AE42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（二）调查整改与秩序恢复</w:t>
      </w:r>
    </w:p>
    <w:p w14:paraId="1D0429B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突发事件应急处置工作结束后，领导小组立即对造成的影响和损失进行调查评估，制定恢复计划，教务处（实验教学中心）调整实践教学计划，恢复正常教学秩序。</w:t>
      </w:r>
    </w:p>
    <w:p w14:paraId="5C87001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  <w:highlight w:val="none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highlight w:val="none"/>
          <w:lang w:val="en-US" w:eastAsia="zh-CN" w:bidi="ar"/>
        </w:rPr>
        <w:t>撰写《事后应急处置专项工作报告》并向上一级有关部门报告。</w:t>
      </w:r>
    </w:p>
    <w:p w14:paraId="22B59306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（三）总结与舆情善后</w:t>
      </w:r>
    </w:p>
    <w:p w14:paraId="11E02A5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领导小组召开总结会，梳理经验教训，修订预案及制度；表彰处置突出单位/个人，追究失职者责任；党委宣传部持续监控舆情，澄清不实信息，公开整改进展，回应关切。</w:t>
      </w:r>
    </w:p>
    <w:p w14:paraId="6290801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"/>
        </w:rPr>
        <w:t>八、应急保障</w:t>
      </w:r>
    </w:p>
    <w:p w14:paraId="21065D36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（一）经费保障</w:t>
      </w:r>
    </w:p>
    <w:p w14:paraId="2EE430F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财务处设立应急专项经费，每年纳入学校预算，保障应急物资采购、处置消耗等费用，确保经费及时足额拨付。</w:t>
      </w:r>
    </w:p>
    <w:p w14:paraId="78A98A13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（二）物资保障</w:t>
      </w:r>
    </w:p>
    <w:p w14:paraId="18A1FFD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后勤保障处负责应急物资采购、储备与管理，建立台账每季度检查更新，物资包括：医疗急救类（急救包、担架、常用药品、AED）、救援工具类（灭火器、破拆工具、手电筒、应急灯、对讲机）、生活保障类（帐篷、饮用水、食品、防寒衣物）。</w:t>
      </w:r>
    </w:p>
    <w:p w14:paraId="2E4AC106">
      <w:pPr>
        <w:keepNext w:val="0"/>
        <w:keepLines w:val="0"/>
        <w:pageBreakBefore w:val="0"/>
        <w:widowControl w:val="0"/>
        <w:suppressLineNumbers w:val="0"/>
        <w:tabs>
          <w:tab w:val="right" w:pos="80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"/>
        </w:rPr>
        <w:t>（三）队伍保障</w:t>
      </w:r>
    </w:p>
    <w:p w14:paraId="788A87E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eastAsia" w:ascii="方正仿宋简体" w:hAnsi="Calibri" w:eastAsia="方正仿宋简体" w:cs="Times New Roman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组建校级应急救援队（保卫处、后勤保障处医护人员、体育教师等），定期开展急救、消防、疏散培训；建立校外专家库（当地公安、医疗、应急管理部门专家），提供技术指导与咨询。</w:t>
      </w:r>
    </w:p>
    <w:p w14:paraId="62056E2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eastAsia" w:ascii="黑体" w:hAnsi="宋体" w:eastAsia="黑体" w:cs="黑体"/>
          <w:kern w:val="44"/>
          <w:sz w:val="32"/>
          <w:szCs w:val="32"/>
        </w:rPr>
      </w:pPr>
      <w:r>
        <w:rPr>
          <w:rFonts w:hint="eastAsia" w:ascii="黑体" w:hAnsi="宋体" w:eastAsia="黑体" w:cs="黑体"/>
          <w:kern w:val="44"/>
          <w:sz w:val="32"/>
          <w:szCs w:val="32"/>
          <w:lang w:val="en-US" w:eastAsia="zh-CN" w:bidi="ar"/>
        </w:rPr>
        <w:t>九、附则</w:t>
      </w:r>
    </w:p>
    <w:p w14:paraId="0F30673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本预案自公布之日起实施，由教务处（实验教学中心）负责解释与修订管理。</w:t>
      </w:r>
    </w:p>
    <w:p w14:paraId="6DF6CF0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420" w:leftChars="200"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</w:pPr>
    </w:p>
    <w:p w14:paraId="36A97C2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left="1611" w:leftChars="0" w:right="0" w:hanging="971" w:firstLineChars="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"/>
        </w:rPr>
        <w:t>附件：北海艺术设计学院校外实践教学安全突发事件应急处置流程图</w:t>
      </w:r>
    </w:p>
    <w:p w14:paraId="5FD6100C">
      <w:pPr>
        <w:rPr>
          <w:rFonts w:hint="eastAsia" w:ascii="方正仿宋简体" w:hAnsi="方正仿宋简体" w:eastAsia="方正仿宋简体" w:cs="方正仿宋简体"/>
          <w:color w:val="FF0000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FF0000"/>
          <w:kern w:val="2"/>
          <w:sz w:val="32"/>
          <w:szCs w:val="32"/>
          <w:lang w:val="en-US" w:eastAsia="zh-CN" w:bidi="ar"/>
        </w:rPr>
        <w:br w:type="page"/>
      </w:r>
    </w:p>
    <w:p w14:paraId="13A8B58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left="0" w:leftChars="0" w:right="0" w:firstLine="0" w:firstLineChars="0"/>
        <w:jc w:val="left"/>
        <w:textAlignment w:val="auto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"/>
        </w:rPr>
        <w:sectPr>
          <w:footerReference r:id="rId3" w:type="default"/>
          <w:pgSz w:w="11906" w:h="16838"/>
          <w:pgMar w:top="1701" w:right="1587" w:bottom="1701" w:left="1587" w:header="851" w:footer="992" w:gutter="0"/>
          <w:pgNumType w:start="1"/>
          <w:cols w:space="425" w:num="1"/>
          <w:docGrid w:type="lines" w:linePitch="312" w:charSpace="0"/>
        </w:sectPr>
      </w:pPr>
    </w:p>
    <w:p w14:paraId="2157F4C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left="0" w:leftChars="0" w:right="0" w:firstLine="0" w:firstLineChars="0"/>
        <w:jc w:val="left"/>
        <w:textAlignment w:val="auto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"/>
        </w:rPr>
        <w:t>附件</w:t>
      </w:r>
    </w:p>
    <w:p w14:paraId="503BBFB2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942965" cy="8361045"/>
            <wp:effectExtent l="0" t="0" r="635" b="1905"/>
            <wp:docPr id="1" name="图片 1" descr="附件1.北海艺术设计学院突发事件应急处置流程图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附件1.北海艺术设计学院突发事件应急处置流程图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2965" cy="836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68218836"/>
    </w:sdtPr>
    <w:sdtContent>
      <w:p w14:paraId="2A4A8976"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52858FF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0E1D64"/>
    <w:rsid w:val="051931EE"/>
    <w:rsid w:val="063673F0"/>
    <w:rsid w:val="077E7AA8"/>
    <w:rsid w:val="07A74AB4"/>
    <w:rsid w:val="08815D8B"/>
    <w:rsid w:val="0AE222D4"/>
    <w:rsid w:val="0B756CA4"/>
    <w:rsid w:val="0E2B3022"/>
    <w:rsid w:val="0FA97864"/>
    <w:rsid w:val="0FCC498E"/>
    <w:rsid w:val="100839C5"/>
    <w:rsid w:val="1014446E"/>
    <w:rsid w:val="11A12721"/>
    <w:rsid w:val="11DF3773"/>
    <w:rsid w:val="11EB7CC0"/>
    <w:rsid w:val="11F97F49"/>
    <w:rsid w:val="12211934"/>
    <w:rsid w:val="15796B4E"/>
    <w:rsid w:val="16113955"/>
    <w:rsid w:val="19006B8B"/>
    <w:rsid w:val="1B377F46"/>
    <w:rsid w:val="1C71664C"/>
    <w:rsid w:val="1FAF67D1"/>
    <w:rsid w:val="211B3CCD"/>
    <w:rsid w:val="219043E0"/>
    <w:rsid w:val="21FC3B3D"/>
    <w:rsid w:val="2203190F"/>
    <w:rsid w:val="228852BA"/>
    <w:rsid w:val="231437A8"/>
    <w:rsid w:val="254C1CDF"/>
    <w:rsid w:val="25507A72"/>
    <w:rsid w:val="264F2B39"/>
    <w:rsid w:val="26B66697"/>
    <w:rsid w:val="28D57973"/>
    <w:rsid w:val="304C1E1A"/>
    <w:rsid w:val="31695A49"/>
    <w:rsid w:val="31ED3189"/>
    <w:rsid w:val="354B7492"/>
    <w:rsid w:val="363870C8"/>
    <w:rsid w:val="37435CB5"/>
    <w:rsid w:val="374A3E66"/>
    <w:rsid w:val="39C944DB"/>
    <w:rsid w:val="3A483652"/>
    <w:rsid w:val="3A4B44E8"/>
    <w:rsid w:val="3C7855B0"/>
    <w:rsid w:val="3CC24A65"/>
    <w:rsid w:val="3CF80470"/>
    <w:rsid w:val="3D177B5B"/>
    <w:rsid w:val="3D2C2DB7"/>
    <w:rsid w:val="40AB493B"/>
    <w:rsid w:val="40B32646"/>
    <w:rsid w:val="425A1246"/>
    <w:rsid w:val="43496A2C"/>
    <w:rsid w:val="43AF4742"/>
    <w:rsid w:val="47C8585C"/>
    <w:rsid w:val="48967C7F"/>
    <w:rsid w:val="4A082895"/>
    <w:rsid w:val="4A19241A"/>
    <w:rsid w:val="4C6A56AA"/>
    <w:rsid w:val="4CC31077"/>
    <w:rsid w:val="4F365D17"/>
    <w:rsid w:val="4F473A81"/>
    <w:rsid w:val="55943798"/>
    <w:rsid w:val="58D1558C"/>
    <w:rsid w:val="590B3D71"/>
    <w:rsid w:val="5D4366C3"/>
    <w:rsid w:val="5D6B3030"/>
    <w:rsid w:val="5D6E241A"/>
    <w:rsid w:val="5EF84D97"/>
    <w:rsid w:val="5FF003B5"/>
    <w:rsid w:val="660D4459"/>
    <w:rsid w:val="68AA5354"/>
    <w:rsid w:val="69A04061"/>
    <w:rsid w:val="6A415844"/>
    <w:rsid w:val="6A570BC4"/>
    <w:rsid w:val="6A7774B8"/>
    <w:rsid w:val="6D21195D"/>
    <w:rsid w:val="6E1C387D"/>
    <w:rsid w:val="6E49116B"/>
    <w:rsid w:val="6F03131A"/>
    <w:rsid w:val="6F060E0B"/>
    <w:rsid w:val="6FE253D4"/>
    <w:rsid w:val="72A93F87"/>
    <w:rsid w:val="73AD3F4B"/>
    <w:rsid w:val="75BC0475"/>
    <w:rsid w:val="76200A04"/>
    <w:rsid w:val="76796EAB"/>
    <w:rsid w:val="77023B1B"/>
    <w:rsid w:val="77493F8A"/>
    <w:rsid w:val="77516029"/>
    <w:rsid w:val="77D630EC"/>
    <w:rsid w:val="7A010B4C"/>
    <w:rsid w:val="7B7535A0"/>
    <w:rsid w:val="7DFD5ACF"/>
    <w:rsid w:val="7F250E39"/>
    <w:rsid w:val="7FAD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0"/>
    <w:pPr>
      <w:spacing w:before="320" w:after="120" w:line="288" w:lineRule="auto"/>
      <w:outlineLvl w:val="1"/>
    </w:pPr>
    <w:rPr>
      <w:rFonts w:ascii="Arial" w:hAnsi="Arial" w:eastAsia="等线" w:cs="Arial"/>
      <w:b/>
      <w:bCs/>
      <w:sz w:val="32"/>
      <w:szCs w:val="3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left"/>
    </w:pPr>
    <w:rPr>
      <w:rFonts w:hint="default" w:ascii="Calibri" w:hAnsi="Calibri" w:eastAsia="宋体" w:cs="Times New Roman"/>
      <w:kern w:val="2"/>
      <w:sz w:val="21"/>
      <w:szCs w:val="21"/>
      <w:lang w:val="en-US" w:eastAsia="zh-CN" w:bidi="ar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annotation reference"/>
    <w:basedOn w:val="7"/>
    <w:qFormat/>
    <w:uiPriority w:val="0"/>
    <w:rPr>
      <w:sz w:val="21"/>
      <w:szCs w:val="21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0">
    <w:name w:val="10"/>
    <w:basedOn w:val="7"/>
    <w:qFormat/>
    <w:uiPriority w:val="0"/>
    <w:rPr>
      <w:rFonts w:hint="default" w:ascii="Times New Roman" w:hAnsi="Times New Roman" w:cs="Times New Roman"/>
    </w:rPr>
  </w:style>
  <w:style w:type="character" w:customStyle="1" w:styleId="11">
    <w:name w:val="15"/>
    <w:basedOn w:val="7"/>
    <w:qFormat/>
    <w:uiPriority w:val="0"/>
    <w:rPr>
      <w:rFonts w:hint="default" w:ascii="Times New Roman" w:hAnsi="Times New Roman" w:cs="Times New Roman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2daaef92-b64c-4f74-b2c4-63de452e3fc8</errorID>
      <errorWord>，</errorWord>
      <group>L1_Grammar</group>
      <groupName>语法问题</groupName>
      <ability>L2_Grammar</ability>
      <abilityName>语法错误</abilityName>
      <candidateList>
        <item>的原则，</item>
      </candidateList>
      <explain/>
      <paraID>5A9407CA</paraID>
      <start>43</start>
      <end>47</end>
      <status>modified</status>
      <modifiedWord>的原则，</modifiedWord>
      <trackRevisions>false</trackRevisions>
    </reviewItem>
    <reviewItem>
      <errorID>895985d9-f23a-4a1c-9d4c-f1a1a0c22e89</errorID>
      <errorWord>预防为主</errorWord>
      <group>L1_Political</group>
      <groupName>政治性问题</groupName>
      <ability>L2_Keyword</ability>
      <abilityName>固定表述</abilityName>
      <candidateList>
        <item>“预防为主”的方针</item>
      </candidateList>
      <explain>此处内容疑似含有固定表述相关错误，建议核查。</explain>
      <paraID>5A9407CA</paraID>
      <start>121</start>
      <end>125</end>
      <status>ignored</status>
      <modifiedWord/>
      <trackRevisions>false</trackRevisions>
    </reviewItem>
    <reviewItem>
      <errorID>a55a703e-e157-4903-9583-207d245d818c</errorID>
      <errorWord>含</errorWord>
      <group>L1_Word</group>
      <groupName>字词问题</groupName>
      <ability>L2_Typo</ability>
      <abilityName>字词错误</abilityName>
      <candidateList>
        <item>包括</item>
      </candidateList>
      <explain/>
      <paraID>18A1FFD4</paraID>
      <start>34</start>
      <end>36</end>
      <status>modified</status>
      <modifiedWord>包括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d1c3e7-c49b-45c3-a72d-af55ae563b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5996</Words>
  <Characters>6063</Characters>
  <Lines>1</Lines>
  <Paragraphs>1</Paragraphs>
  <TotalTime>40</TotalTime>
  <ScaleCrop>false</ScaleCrop>
  <LinksUpToDate>false</LinksUpToDate>
  <CharactersWithSpaces>6080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2026-05-21T02:07:00Z</dcterms:created>
  <dc:creator>Administrator</dc:creator>
  <cp:lastModifiedBy>-bluejeru</cp:lastModifiedBy>
  <dcterms:modified xsi:type="dcterms:W3CDTF">2026-05-22T03:11:10Z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eyJoZGlkIjoiNDc1Zjc5ZDhiYjgyZDdjZjU3MmM4MTRhYzI0YmNkZmIiLCJ1c2VySWQiOiIzMjU3Njk0MzkifQ==</vt:lpwstr>
  </property>
  <property fmtid="{D5CDD505-2E9C-101B-9397-08002B2CF9AE}" pid="4" name="ICV">
    <vt:lpwstr>13143DDA38434F8DBD9C24E3B7103E2F_13</vt:lpwstr>
  </property>
</Properties>
</file>